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6D12" w14:textId="77777777" w:rsidR="00763A7E" w:rsidRPr="00763A7E" w:rsidRDefault="00763A7E" w:rsidP="002F06FC">
      <w:pPr>
        <w:jc w:val="center"/>
        <w:rPr>
          <w:b/>
          <w:bCs/>
          <w:sz w:val="10"/>
          <w:szCs w:val="10"/>
          <w:lang w:val="en-US"/>
        </w:rPr>
      </w:pPr>
    </w:p>
    <w:p w14:paraId="30E50540" w14:textId="56D352E8" w:rsidR="00BF0201" w:rsidRDefault="00E26EE8" w:rsidP="002F06F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="00613880">
        <w:rPr>
          <w:b/>
          <w:bCs/>
          <w:sz w:val="28"/>
          <w:szCs w:val="28"/>
          <w:lang w:val="en-US"/>
        </w:rPr>
        <w:t>tatus of</w:t>
      </w:r>
      <w:r>
        <w:rPr>
          <w:b/>
          <w:bCs/>
          <w:sz w:val="28"/>
          <w:szCs w:val="28"/>
          <w:lang w:val="en-US"/>
        </w:rPr>
        <w:t xml:space="preserve"> the</w:t>
      </w:r>
      <w:r w:rsidR="00613880">
        <w:rPr>
          <w:b/>
          <w:bCs/>
          <w:sz w:val="28"/>
          <w:szCs w:val="28"/>
          <w:lang w:val="en-US"/>
        </w:rPr>
        <w:t xml:space="preserve"> </w:t>
      </w:r>
      <w:r w:rsidRPr="00ED63C5">
        <w:rPr>
          <w:b/>
          <w:bCs/>
          <w:sz w:val="28"/>
          <w:szCs w:val="28"/>
          <w:lang w:val="en-US"/>
        </w:rPr>
        <w:t>Recovery and Resilience plan</w:t>
      </w:r>
      <w:r w:rsidR="00F5344E">
        <w:rPr>
          <w:b/>
          <w:bCs/>
          <w:sz w:val="28"/>
          <w:szCs w:val="28"/>
          <w:lang w:val="en-US"/>
        </w:rPr>
        <w:t>s</w:t>
      </w:r>
      <w:r w:rsidR="00AA3F93">
        <w:rPr>
          <w:b/>
          <w:bCs/>
          <w:sz w:val="28"/>
          <w:szCs w:val="28"/>
          <w:lang w:val="en-US"/>
        </w:rPr>
        <w:t xml:space="preserve"> (RRPs)</w:t>
      </w:r>
      <w:r w:rsidR="00F5344E">
        <w:rPr>
          <w:b/>
          <w:bCs/>
          <w:sz w:val="28"/>
          <w:szCs w:val="28"/>
          <w:lang w:val="en-US"/>
        </w:rPr>
        <w:t>’ implementation</w:t>
      </w:r>
    </w:p>
    <w:p w14:paraId="0C6D78DE" w14:textId="417071C4" w:rsidR="00ED63C5" w:rsidRDefault="0075779D" w:rsidP="00DA41EC">
      <w:pPr>
        <w:jc w:val="center"/>
        <w:rPr>
          <w:lang w:val="en-US"/>
        </w:rPr>
      </w:pPr>
      <w:r w:rsidRPr="0075779D">
        <w:rPr>
          <w:lang w:val="en-US"/>
        </w:rPr>
        <w:t>27 July 2021</w:t>
      </w:r>
    </w:p>
    <w:p w14:paraId="126EDAA1" w14:textId="77777777" w:rsidR="00F05D27" w:rsidRPr="00763A7E" w:rsidRDefault="00F05D27" w:rsidP="00DA41EC">
      <w:pPr>
        <w:jc w:val="center"/>
        <w:rPr>
          <w:lang w:val="en-US"/>
        </w:rPr>
      </w:pPr>
    </w:p>
    <w:p w14:paraId="38BD4786" w14:textId="08634A0D" w:rsidR="00125CC2" w:rsidRPr="00D873E5" w:rsidRDefault="00262FD6" w:rsidP="00D873E5">
      <w:pPr>
        <w:jc w:val="both"/>
        <w:rPr>
          <w:b/>
          <w:bCs/>
          <w:lang w:val="en-US"/>
        </w:rPr>
      </w:pPr>
      <w:r w:rsidRPr="00D873E5">
        <w:rPr>
          <w:b/>
          <w:bCs/>
          <w:lang w:val="en-US"/>
        </w:rPr>
        <w:t xml:space="preserve">Submission of </w:t>
      </w:r>
      <w:r w:rsidR="00C01637">
        <w:rPr>
          <w:b/>
          <w:bCs/>
          <w:lang w:val="en-US"/>
        </w:rPr>
        <w:t>RRPs</w:t>
      </w:r>
    </w:p>
    <w:p w14:paraId="663C4541" w14:textId="57B69488" w:rsidR="007C219F" w:rsidRPr="00A81A1B" w:rsidRDefault="003E0FFE" w:rsidP="00D873E5">
      <w:pPr>
        <w:jc w:val="both"/>
        <w:rPr>
          <w:lang w:val="en-US"/>
        </w:rPr>
      </w:pPr>
      <w:r>
        <w:rPr>
          <w:lang w:val="en-US"/>
        </w:rPr>
        <w:t xml:space="preserve">Except for </w:t>
      </w:r>
      <w:r w:rsidR="00A6628C">
        <w:rPr>
          <w:lang w:val="en-US"/>
        </w:rPr>
        <w:t>Bulgaria</w:t>
      </w:r>
      <w:r w:rsidR="00AF5866">
        <w:rPr>
          <w:lang w:val="en-US"/>
        </w:rPr>
        <w:t xml:space="preserve"> and the Netherlands</w:t>
      </w:r>
      <w:r w:rsidR="00A6628C">
        <w:rPr>
          <w:lang w:val="en-US"/>
        </w:rPr>
        <w:t xml:space="preserve">, </w:t>
      </w:r>
      <w:r>
        <w:rPr>
          <w:lang w:val="en-US"/>
        </w:rPr>
        <w:t>all</w:t>
      </w:r>
      <w:r w:rsidR="00EC6134">
        <w:rPr>
          <w:lang w:val="en-US"/>
        </w:rPr>
        <w:t xml:space="preserve"> </w:t>
      </w:r>
      <w:r w:rsidR="006F3C4A">
        <w:rPr>
          <w:lang w:val="en-US"/>
        </w:rPr>
        <w:t>Member States</w:t>
      </w:r>
      <w:r w:rsidR="00A81A1B">
        <w:rPr>
          <w:lang w:val="en-US"/>
        </w:rPr>
        <w:t xml:space="preserve"> (MS)</w:t>
      </w:r>
      <w:r w:rsidR="006F3C4A">
        <w:rPr>
          <w:lang w:val="en-US"/>
        </w:rPr>
        <w:t xml:space="preserve"> have submitted their RR</w:t>
      </w:r>
      <w:r w:rsidR="00AA20FF">
        <w:rPr>
          <w:lang w:val="en-US"/>
        </w:rPr>
        <w:t>Ps to the European Commission</w:t>
      </w:r>
      <w:r w:rsidR="00C01637">
        <w:rPr>
          <w:lang w:val="en-US"/>
        </w:rPr>
        <w:t>.</w:t>
      </w:r>
      <w:r w:rsidR="00AF5866">
        <w:rPr>
          <w:lang w:val="en-US"/>
        </w:rPr>
        <w:t xml:space="preserve"> </w:t>
      </w:r>
      <w:r w:rsidR="007C219F">
        <w:rPr>
          <w:lang w:val="en-US"/>
        </w:rPr>
        <w:t xml:space="preserve">For more </w:t>
      </w:r>
      <w:r w:rsidR="003271BB">
        <w:rPr>
          <w:lang w:val="en-US"/>
        </w:rPr>
        <w:t xml:space="preserve">detailed </w:t>
      </w:r>
      <w:r w:rsidR="007C219F">
        <w:rPr>
          <w:lang w:val="en-US"/>
        </w:rPr>
        <w:t>information</w:t>
      </w:r>
      <w:r w:rsidR="003271BB">
        <w:rPr>
          <w:lang w:val="en-US"/>
        </w:rPr>
        <w:t xml:space="preserve">, please visit </w:t>
      </w:r>
      <w:hyperlink r:id="rId10" w:history="1">
        <w:r w:rsidR="003271BB" w:rsidRPr="003B5B35">
          <w:rPr>
            <w:rStyle w:val="Hyperlink"/>
            <w:lang w:val="en-US"/>
          </w:rPr>
          <w:t>HOTREC’s page</w:t>
        </w:r>
      </w:hyperlink>
      <w:r w:rsidR="003271BB">
        <w:rPr>
          <w:lang w:val="en-US"/>
        </w:rPr>
        <w:t>.</w:t>
      </w:r>
    </w:p>
    <w:p w14:paraId="469865B5" w14:textId="19CA5530" w:rsidR="003D0417" w:rsidRDefault="003D0417" w:rsidP="00D873E5">
      <w:pPr>
        <w:jc w:val="both"/>
        <w:rPr>
          <w:b/>
          <w:bCs/>
          <w:lang w:val="en-US"/>
        </w:rPr>
      </w:pPr>
      <w:r w:rsidRPr="00D873E5">
        <w:rPr>
          <w:b/>
          <w:bCs/>
          <w:lang w:val="en-US"/>
        </w:rPr>
        <w:t xml:space="preserve">Commission’s </w:t>
      </w:r>
      <w:r w:rsidR="001A3B3B">
        <w:rPr>
          <w:b/>
          <w:bCs/>
          <w:lang w:val="en-US"/>
        </w:rPr>
        <w:t xml:space="preserve">RRPs </w:t>
      </w:r>
      <w:r w:rsidRPr="00D873E5">
        <w:rPr>
          <w:b/>
          <w:bCs/>
          <w:lang w:val="en-US"/>
        </w:rPr>
        <w:t>assessment</w:t>
      </w:r>
    </w:p>
    <w:p w14:paraId="3A8021F1" w14:textId="15933036" w:rsidR="00C77E1E" w:rsidRDefault="00CC2B6B" w:rsidP="00C77E1E">
      <w:pPr>
        <w:jc w:val="both"/>
        <w:rPr>
          <w:lang w:val="en-US"/>
        </w:rPr>
      </w:pPr>
      <w:r>
        <w:rPr>
          <w:lang w:val="en-US"/>
        </w:rPr>
        <w:t>T</w:t>
      </w:r>
      <w:r w:rsidR="00DF210C">
        <w:rPr>
          <w:lang w:val="en-US"/>
        </w:rPr>
        <w:t xml:space="preserve">he </w:t>
      </w:r>
      <w:r w:rsidR="00AD2014">
        <w:rPr>
          <w:lang w:val="en-US"/>
        </w:rPr>
        <w:t>following eighteen</w:t>
      </w:r>
      <w:r w:rsidR="00AA3BCB" w:rsidRPr="00AA3BCB">
        <w:rPr>
          <w:color w:val="FF0000"/>
          <w:lang w:val="en-US"/>
        </w:rPr>
        <w:t xml:space="preserve"> </w:t>
      </w:r>
      <w:r w:rsidR="00DF210C">
        <w:rPr>
          <w:lang w:val="en-US"/>
        </w:rPr>
        <w:t xml:space="preserve">MS </w:t>
      </w:r>
      <w:r>
        <w:rPr>
          <w:lang w:val="en-US"/>
        </w:rPr>
        <w:t>had their RRP</w:t>
      </w:r>
      <w:r w:rsidR="00DF210C">
        <w:rPr>
          <w:lang w:val="en-US"/>
        </w:rPr>
        <w:t xml:space="preserve"> positively assessed by the Commission.</w:t>
      </w:r>
    </w:p>
    <w:tbl>
      <w:tblPr>
        <w:tblStyle w:val="TableGrid"/>
        <w:tblW w:w="9143" w:type="dxa"/>
        <w:tblInd w:w="-5" w:type="dxa"/>
        <w:tblLook w:val="04A0" w:firstRow="1" w:lastRow="0" w:firstColumn="1" w:lastColumn="0" w:noHBand="0" w:noVBand="1"/>
      </w:tblPr>
      <w:tblGrid>
        <w:gridCol w:w="2318"/>
        <w:gridCol w:w="2275"/>
        <w:gridCol w:w="2275"/>
        <w:gridCol w:w="2275"/>
      </w:tblGrid>
      <w:tr w:rsidR="001940E3" w14:paraId="4DB5A4BD" w14:textId="36432ECD" w:rsidTr="00D65073">
        <w:trPr>
          <w:trHeight w:val="239"/>
        </w:trPr>
        <w:tc>
          <w:tcPr>
            <w:tcW w:w="2318" w:type="dxa"/>
          </w:tcPr>
          <w:p w14:paraId="71C80309" w14:textId="77777777" w:rsidR="001940E3" w:rsidRPr="00F83E81" w:rsidRDefault="001940E3" w:rsidP="0019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Austria</w:t>
            </w:r>
          </w:p>
        </w:tc>
        <w:tc>
          <w:tcPr>
            <w:tcW w:w="2275" w:type="dxa"/>
          </w:tcPr>
          <w:p w14:paraId="21296FE0" w14:textId="27BDFAFB" w:rsidR="001940E3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 w:rsidRPr="00261CFD">
              <w:rPr>
                <w:lang w:val="en-US"/>
              </w:rPr>
              <w:t>Denmark</w:t>
            </w:r>
          </w:p>
        </w:tc>
        <w:tc>
          <w:tcPr>
            <w:tcW w:w="2275" w:type="dxa"/>
          </w:tcPr>
          <w:p w14:paraId="08BED01A" w14:textId="65DC0346" w:rsidR="001940E3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Italy</w:t>
            </w:r>
          </w:p>
        </w:tc>
        <w:tc>
          <w:tcPr>
            <w:tcW w:w="2275" w:type="dxa"/>
          </w:tcPr>
          <w:p w14:paraId="4A673A60" w14:textId="162BA72B" w:rsidR="001940E3" w:rsidRPr="00261CFD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 w:rsidRPr="00261CFD">
              <w:rPr>
                <w:lang w:val="en-US"/>
              </w:rPr>
              <w:t>Lithuania</w:t>
            </w:r>
          </w:p>
        </w:tc>
      </w:tr>
      <w:tr w:rsidR="001940E3" w14:paraId="514F65BC" w14:textId="6F2DDF85" w:rsidTr="00D65073">
        <w:trPr>
          <w:trHeight w:val="239"/>
        </w:trPr>
        <w:tc>
          <w:tcPr>
            <w:tcW w:w="2318" w:type="dxa"/>
          </w:tcPr>
          <w:p w14:paraId="4C7DC19F" w14:textId="77777777" w:rsidR="001940E3" w:rsidRPr="00F83E81" w:rsidRDefault="001940E3" w:rsidP="0019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Belgium</w:t>
            </w:r>
          </w:p>
        </w:tc>
        <w:tc>
          <w:tcPr>
            <w:tcW w:w="2275" w:type="dxa"/>
          </w:tcPr>
          <w:p w14:paraId="0F79DE3C" w14:textId="22E236A3" w:rsidR="001940E3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 w:rsidRPr="00261CFD">
              <w:rPr>
                <w:lang w:val="en-US"/>
              </w:rPr>
              <w:t>France</w:t>
            </w:r>
          </w:p>
        </w:tc>
        <w:tc>
          <w:tcPr>
            <w:tcW w:w="2275" w:type="dxa"/>
          </w:tcPr>
          <w:p w14:paraId="35ED65CC" w14:textId="44768186" w:rsidR="001940E3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 w:rsidRPr="00261CFD">
              <w:rPr>
                <w:lang w:val="en-US"/>
              </w:rPr>
              <w:t>Latvia</w:t>
            </w:r>
          </w:p>
        </w:tc>
        <w:tc>
          <w:tcPr>
            <w:tcW w:w="2275" w:type="dxa"/>
          </w:tcPr>
          <w:p w14:paraId="4DE4ED3F" w14:textId="58FBBE71" w:rsidR="001940E3" w:rsidRPr="00261CFD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 w:rsidRPr="00261CFD">
              <w:rPr>
                <w:lang w:val="en-US"/>
              </w:rPr>
              <w:t>Slovakia</w:t>
            </w:r>
          </w:p>
        </w:tc>
      </w:tr>
      <w:tr w:rsidR="001940E3" w14:paraId="1C231741" w14:textId="2583D36C" w:rsidTr="00D65073">
        <w:trPr>
          <w:trHeight w:val="249"/>
        </w:trPr>
        <w:tc>
          <w:tcPr>
            <w:tcW w:w="2318" w:type="dxa"/>
          </w:tcPr>
          <w:p w14:paraId="6DFEB124" w14:textId="77777777" w:rsidR="001940E3" w:rsidRPr="00261CFD" w:rsidRDefault="001940E3" w:rsidP="001940E3">
            <w:pPr>
              <w:jc w:val="both"/>
              <w:rPr>
                <w:lang w:val="en-US"/>
              </w:rPr>
            </w:pPr>
            <w:r w:rsidRPr="00261CFD">
              <w:rPr>
                <w:lang w:val="en-US"/>
              </w:rPr>
              <w:t>Croatia</w:t>
            </w:r>
          </w:p>
        </w:tc>
        <w:tc>
          <w:tcPr>
            <w:tcW w:w="2275" w:type="dxa"/>
          </w:tcPr>
          <w:p w14:paraId="5EDE95BB" w14:textId="5B56CB47" w:rsidR="001940E3" w:rsidRPr="00261CFD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 w:rsidRPr="00261CFD">
              <w:rPr>
                <w:lang w:val="en-US"/>
              </w:rPr>
              <w:t>Germany</w:t>
            </w:r>
          </w:p>
        </w:tc>
        <w:tc>
          <w:tcPr>
            <w:tcW w:w="2275" w:type="dxa"/>
          </w:tcPr>
          <w:p w14:paraId="681B7E7B" w14:textId="3995E690" w:rsidR="001940E3" w:rsidRPr="00261CFD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 w:rsidRPr="00261CFD">
              <w:rPr>
                <w:lang w:val="en-US"/>
              </w:rPr>
              <w:t>Lithuania</w:t>
            </w:r>
          </w:p>
        </w:tc>
        <w:tc>
          <w:tcPr>
            <w:tcW w:w="2275" w:type="dxa"/>
          </w:tcPr>
          <w:p w14:paraId="4D52ABA7" w14:textId="4CC5D1BD" w:rsidR="001940E3" w:rsidRPr="00261CFD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 w:rsidRPr="00261CFD">
              <w:rPr>
                <w:lang w:val="en-US"/>
              </w:rPr>
              <w:t>Slovenia</w:t>
            </w:r>
          </w:p>
        </w:tc>
      </w:tr>
      <w:tr w:rsidR="001940E3" w:rsidRPr="00E04FC0" w14:paraId="0416EC4D" w14:textId="336C0829" w:rsidTr="00D65073">
        <w:trPr>
          <w:trHeight w:val="239"/>
        </w:trPr>
        <w:tc>
          <w:tcPr>
            <w:tcW w:w="2318" w:type="dxa"/>
          </w:tcPr>
          <w:p w14:paraId="093FD6CF" w14:textId="77777777" w:rsidR="001940E3" w:rsidRPr="00261CFD" w:rsidRDefault="001940E3" w:rsidP="001940E3">
            <w:pPr>
              <w:jc w:val="both"/>
              <w:rPr>
                <w:lang w:val="en-US"/>
              </w:rPr>
            </w:pPr>
            <w:r w:rsidRPr="00261CFD">
              <w:rPr>
                <w:lang w:val="en-US"/>
              </w:rPr>
              <w:t>Cyprus</w:t>
            </w:r>
          </w:p>
        </w:tc>
        <w:tc>
          <w:tcPr>
            <w:tcW w:w="2275" w:type="dxa"/>
          </w:tcPr>
          <w:p w14:paraId="71206D88" w14:textId="2BC1483F" w:rsidR="001940E3" w:rsidRPr="00261CFD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Greece</w:t>
            </w:r>
          </w:p>
        </w:tc>
        <w:tc>
          <w:tcPr>
            <w:tcW w:w="2275" w:type="dxa"/>
          </w:tcPr>
          <w:p w14:paraId="4900E3A0" w14:textId="46BAE2AD" w:rsidR="001940E3" w:rsidRPr="00261CFD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 w:rsidRPr="00261CFD">
              <w:rPr>
                <w:lang w:val="en-US"/>
              </w:rPr>
              <w:t>Luxembourg</w:t>
            </w:r>
          </w:p>
        </w:tc>
        <w:tc>
          <w:tcPr>
            <w:tcW w:w="2275" w:type="dxa"/>
          </w:tcPr>
          <w:p w14:paraId="5281D02E" w14:textId="5C0C0D96" w:rsidR="001940E3" w:rsidRPr="00261CFD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Spain</w:t>
            </w:r>
          </w:p>
        </w:tc>
      </w:tr>
      <w:tr w:rsidR="001940E3" w14:paraId="470E2A12" w14:textId="0B33503E" w:rsidTr="00D65073">
        <w:trPr>
          <w:trHeight w:val="239"/>
        </w:trPr>
        <w:tc>
          <w:tcPr>
            <w:tcW w:w="2318" w:type="dxa"/>
          </w:tcPr>
          <w:p w14:paraId="7E73FD0B" w14:textId="77777777" w:rsidR="001940E3" w:rsidRPr="00261CFD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 w:rsidRPr="00261CFD">
              <w:rPr>
                <w:lang w:val="en-US"/>
              </w:rPr>
              <w:t>Czechia</w:t>
            </w:r>
          </w:p>
        </w:tc>
        <w:tc>
          <w:tcPr>
            <w:tcW w:w="2275" w:type="dxa"/>
          </w:tcPr>
          <w:p w14:paraId="42BF7C3E" w14:textId="30FD707B" w:rsidR="001940E3" w:rsidRPr="00261CFD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Ireland</w:t>
            </w:r>
          </w:p>
        </w:tc>
        <w:tc>
          <w:tcPr>
            <w:tcW w:w="2275" w:type="dxa"/>
          </w:tcPr>
          <w:p w14:paraId="37118127" w14:textId="0A96E1D0" w:rsidR="001940E3" w:rsidRPr="00261CFD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  <w:r w:rsidRPr="00261CFD">
              <w:rPr>
                <w:lang w:val="en-US"/>
              </w:rPr>
              <w:t>Portugal</w:t>
            </w:r>
          </w:p>
        </w:tc>
        <w:tc>
          <w:tcPr>
            <w:tcW w:w="2275" w:type="dxa"/>
          </w:tcPr>
          <w:p w14:paraId="4A9A181D" w14:textId="77777777" w:rsidR="001940E3" w:rsidRPr="00261CFD" w:rsidRDefault="001940E3" w:rsidP="001940E3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</w:tr>
    </w:tbl>
    <w:p w14:paraId="794CC31F" w14:textId="77777777" w:rsidR="00CC2B6B" w:rsidRPr="001940E3" w:rsidRDefault="00CC2B6B" w:rsidP="00C77E1E">
      <w:pPr>
        <w:jc w:val="both"/>
        <w:rPr>
          <w:sz w:val="8"/>
          <w:szCs w:val="8"/>
          <w:lang w:val="en-US"/>
        </w:rPr>
      </w:pPr>
    </w:p>
    <w:p w14:paraId="3DF6C374" w14:textId="00123DA3" w:rsidR="000A09EB" w:rsidRDefault="00CC2B6B" w:rsidP="00C77E1E">
      <w:pPr>
        <w:jc w:val="both"/>
        <w:rPr>
          <w:lang w:val="en-US"/>
        </w:rPr>
      </w:pPr>
      <w:r>
        <w:rPr>
          <w:lang w:val="en-US"/>
        </w:rPr>
        <w:t xml:space="preserve">However, </w:t>
      </w:r>
      <w:r w:rsidR="00075239">
        <w:rPr>
          <w:lang w:val="en-US"/>
        </w:rPr>
        <w:t xml:space="preserve">in the case of </w:t>
      </w:r>
      <w:r w:rsidR="004D4BFB">
        <w:rPr>
          <w:lang w:val="en-US"/>
        </w:rPr>
        <w:t>Estonia, Finland, Poland, Romania and Sweden</w:t>
      </w:r>
      <w:r w:rsidR="00075239">
        <w:rPr>
          <w:lang w:val="en-US"/>
        </w:rPr>
        <w:t>, their</w:t>
      </w:r>
      <w:r w:rsidR="008C091D">
        <w:rPr>
          <w:lang w:val="en-US"/>
        </w:rPr>
        <w:t xml:space="preserve"> RRP</w:t>
      </w:r>
      <w:r w:rsidR="00763A7E">
        <w:rPr>
          <w:lang w:val="en-US"/>
        </w:rPr>
        <w:t>s</w:t>
      </w:r>
      <w:r w:rsidR="004D4BFB">
        <w:rPr>
          <w:lang w:val="en-US"/>
        </w:rPr>
        <w:t xml:space="preserve"> </w:t>
      </w:r>
      <w:r w:rsidR="008C091D">
        <w:rPr>
          <w:lang w:val="en-US"/>
        </w:rPr>
        <w:t>were assessed negatively as they did</w:t>
      </w:r>
      <w:r w:rsidR="00763A7E">
        <w:rPr>
          <w:lang w:val="en-US"/>
        </w:rPr>
        <w:t xml:space="preserve"> not</w:t>
      </w:r>
      <w:r w:rsidR="008C091D">
        <w:rPr>
          <w:lang w:val="en-US"/>
        </w:rPr>
        <w:t xml:space="preserve"> </w:t>
      </w:r>
      <w:r w:rsidR="00620F08">
        <w:rPr>
          <w:lang w:val="en-US"/>
        </w:rPr>
        <w:t xml:space="preserve">reach the Green Deal’s objectives. Therefore, they must revise </w:t>
      </w:r>
      <w:r w:rsidR="00D27DD7">
        <w:rPr>
          <w:lang w:val="en-US"/>
        </w:rPr>
        <w:t xml:space="preserve">their </w:t>
      </w:r>
      <w:r w:rsidR="00763A7E">
        <w:rPr>
          <w:lang w:val="en-US"/>
        </w:rPr>
        <w:t>it</w:t>
      </w:r>
      <w:r w:rsidR="00D27DD7">
        <w:rPr>
          <w:lang w:val="en-US"/>
        </w:rPr>
        <w:t xml:space="preserve"> accordingly.</w:t>
      </w:r>
      <w:r w:rsidR="00743B4E">
        <w:rPr>
          <w:lang w:val="en-US"/>
        </w:rPr>
        <w:t xml:space="preserve"> </w:t>
      </w:r>
      <w:r w:rsidR="00D27DD7">
        <w:rPr>
          <w:lang w:val="en-US"/>
        </w:rPr>
        <w:t xml:space="preserve">In the case of </w:t>
      </w:r>
      <w:r w:rsidR="000A09EB">
        <w:rPr>
          <w:lang w:val="en-US"/>
        </w:rPr>
        <w:t>Hungary and Malta</w:t>
      </w:r>
      <w:r w:rsidR="00D27DD7">
        <w:rPr>
          <w:lang w:val="en-US"/>
        </w:rPr>
        <w:t>,</w:t>
      </w:r>
      <w:r w:rsidR="000A09EB">
        <w:rPr>
          <w:lang w:val="en-US"/>
        </w:rPr>
        <w:t xml:space="preserve"> </w:t>
      </w:r>
      <w:r w:rsidR="004D4BFB">
        <w:rPr>
          <w:lang w:val="en-US"/>
        </w:rPr>
        <w:t>their</w:t>
      </w:r>
      <w:r w:rsidR="00743B4E">
        <w:rPr>
          <w:lang w:val="en-US"/>
        </w:rPr>
        <w:t xml:space="preserve"> RRP</w:t>
      </w:r>
      <w:r w:rsidR="004D4BFB">
        <w:rPr>
          <w:lang w:val="en-US"/>
        </w:rPr>
        <w:t xml:space="preserve"> </w:t>
      </w:r>
      <w:r w:rsidR="00D27DD7">
        <w:rPr>
          <w:lang w:val="en-US"/>
        </w:rPr>
        <w:t xml:space="preserve">have not been </w:t>
      </w:r>
      <w:r w:rsidR="000A09EB">
        <w:rPr>
          <w:lang w:val="en-US"/>
        </w:rPr>
        <w:t>assessed yet</w:t>
      </w:r>
      <w:r w:rsidR="00E22B65">
        <w:rPr>
          <w:lang w:val="en-US"/>
        </w:rPr>
        <w:t>.</w:t>
      </w:r>
    </w:p>
    <w:p w14:paraId="26E4CC5D" w14:textId="5F0EF10B" w:rsidR="00B73CAE" w:rsidRDefault="00B73CAE" w:rsidP="00934E30">
      <w:pPr>
        <w:jc w:val="both"/>
        <w:rPr>
          <w:b/>
          <w:bCs/>
          <w:lang w:val="en-US"/>
        </w:rPr>
      </w:pPr>
      <w:r w:rsidRPr="00674140">
        <w:rPr>
          <w:b/>
          <w:bCs/>
          <w:lang w:val="en-US"/>
        </w:rPr>
        <w:t>Commission</w:t>
      </w:r>
      <w:r w:rsidR="003D0417" w:rsidRPr="00674140">
        <w:rPr>
          <w:b/>
          <w:bCs/>
          <w:lang w:val="en-US"/>
        </w:rPr>
        <w:t>’s</w:t>
      </w:r>
      <w:r w:rsidRPr="00674140">
        <w:rPr>
          <w:b/>
          <w:bCs/>
          <w:lang w:val="en-US"/>
        </w:rPr>
        <w:t xml:space="preserve"> </w:t>
      </w:r>
      <w:r w:rsidR="00C77E1E" w:rsidRPr="00674140">
        <w:rPr>
          <w:b/>
          <w:bCs/>
          <w:lang w:val="en-US"/>
        </w:rPr>
        <w:t xml:space="preserve">endorsement </w:t>
      </w:r>
      <w:r w:rsidR="002420EA">
        <w:rPr>
          <w:b/>
          <w:bCs/>
          <w:lang w:val="en-US"/>
        </w:rPr>
        <w:t xml:space="preserve">+ </w:t>
      </w:r>
      <w:r w:rsidR="002420EA" w:rsidRPr="00674140">
        <w:rPr>
          <w:b/>
          <w:bCs/>
          <w:lang w:val="en-US"/>
        </w:rPr>
        <w:t>Council adoption</w:t>
      </w:r>
    </w:p>
    <w:p w14:paraId="6C51E897" w14:textId="177D2D2E" w:rsidR="00B84B2C" w:rsidRDefault="005C5B82" w:rsidP="00A247E2">
      <w:pPr>
        <w:jc w:val="both"/>
        <w:rPr>
          <w:lang w:val="en-US"/>
        </w:rPr>
      </w:pPr>
      <w:r w:rsidRPr="005C5B82">
        <w:rPr>
          <w:lang w:val="en-US"/>
        </w:rPr>
        <w:t xml:space="preserve">The </w:t>
      </w:r>
      <w:hyperlink r:id="rId11" w:history="1">
        <w:r w:rsidRPr="008D10DC">
          <w:rPr>
            <w:rStyle w:val="Hyperlink"/>
            <w:lang w:val="en-US"/>
          </w:rPr>
          <w:t>eighteen MS</w:t>
        </w:r>
      </w:hyperlink>
      <w:r w:rsidRPr="005C5B82">
        <w:rPr>
          <w:lang w:val="en-US"/>
        </w:rPr>
        <w:t xml:space="preserve"> </w:t>
      </w:r>
      <w:r w:rsidR="006E6194">
        <w:rPr>
          <w:lang w:val="en-US"/>
        </w:rPr>
        <w:t xml:space="preserve">mentioned above </w:t>
      </w:r>
      <w:r>
        <w:rPr>
          <w:lang w:val="en-US"/>
        </w:rPr>
        <w:t xml:space="preserve">had their RRP endorsed by the Commission and adopted </w:t>
      </w:r>
      <w:r w:rsidR="00B84B2C">
        <w:rPr>
          <w:lang w:val="en-US"/>
        </w:rPr>
        <w:t>by the Council.</w:t>
      </w:r>
    </w:p>
    <w:p w14:paraId="33B12B9A" w14:textId="6E2811B8" w:rsidR="00262FD6" w:rsidRDefault="005C2C64" w:rsidP="00A247E2">
      <w:pPr>
        <w:jc w:val="both"/>
        <w:rPr>
          <w:b/>
          <w:bCs/>
          <w:lang w:val="en-US"/>
        </w:rPr>
      </w:pPr>
      <w:r w:rsidRPr="005C2C64">
        <w:rPr>
          <w:b/>
          <w:bCs/>
          <w:lang w:val="en-US"/>
        </w:rPr>
        <w:t>Next steps:</w:t>
      </w:r>
    </w:p>
    <w:p w14:paraId="0C1B6277" w14:textId="39C162DA" w:rsidR="00174270" w:rsidRDefault="00AA3BD8" w:rsidP="00A247E2">
      <w:pPr>
        <w:jc w:val="both"/>
        <w:rPr>
          <w:lang w:val="en-US"/>
        </w:rPr>
      </w:pPr>
      <w:r w:rsidRPr="00AB751F">
        <w:rPr>
          <w:lang w:val="en-US"/>
        </w:rPr>
        <w:t xml:space="preserve">Once the </w:t>
      </w:r>
      <w:r w:rsidR="00DA345C">
        <w:rPr>
          <w:lang w:val="en-US"/>
        </w:rPr>
        <w:t xml:space="preserve">Council </w:t>
      </w:r>
      <w:r w:rsidR="004A6583">
        <w:rPr>
          <w:lang w:val="en-US"/>
        </w:rPr>
        <w:t>Implementing</w:t>
      </w:r>
      <w:r w:rsidRPr="00AB751F">
        <w:rPr>
          <w:lang w:val="en-US"/>
        </w:rPr>
        <w:t xml:space="preserve"> </w:t>
      </w:r>
      <w:r w:rsidR="00852098">
        <w:rPr>
          <w:lang w:val="en-US"/>
        </w:rPr>
        <w:t xml:space="preserve">Decisions (CIDs) </w:t>
      </w:r>
      <w:r w:rsidRPr="00AB751F">
        <w:rPr>
          <w:lang w:val="en-US"/>
        </w:rPr>
        <w:t xml:space="preserve">have been adopted, the Commission can sign grant and loan agreements with the </w:t>
      </w:r>
      <w:r w:rsidR="00CF04C6">
        <w:rPr>
          <w:lang w:val="en-US"/>
        </w:rPr>
        <w:t>MSs</w:t>
      </w:r>
      <w:r w:rsidRPr="00AB751F">
        <w:rPr>
          <w:lang w:val="en-US"/>
        </w:rPr>
        <w:t xml:space="preserve">, commit resources and proceed with the payment of pre-financing </w:t>
      </w:r>
      <w:r w:rsidR="00F05D27">
        <w:rPr>
          <w:lang w:val="en-US"/>
        </w:rPr>
        <w:t xml:space="preserve">(up to 13% of total grants and loans) </w:t>
      </w:r>
      <w:r w:rsidRPr="00AB751F">
        <w:rPr>
          <w:lang w:val="en-US"/>
        </w:rPr>
        <w:t xml:space="preserve">within </w:t>
      </w:r>
      <w:r w:rsidRPr="0075779D">
        <w:rPr>
          <w:u w:val="single"/>
          <w:lang w:val="en-US"/>
        </w:rPr>
        <w:t>two months</w:t>
      </w:r>
      <w:r w:rsidRPr="00AB751F">
        <w:rPr>
          <w:lang w:val="en-US"/>
        </w:rPr>
        <w:t>.</w:t>
      </w:r>
      <w:r w:rsidR="00DA41EC">
        <w:rPr>
          <w:lang w:val="en-US"/>
        </w:rPr>
        <w:t xml:space="preserve"> </w:t>
      </w:r>
    </w:p>
    <w:p w14:paraId="5A79E8F1" w14:textId="178CB57E" w:rsidR="005C2C64" w:rsidRDefault="005C2C64" w:rsidP="00A247E2">
      <w:pPr>
        <w:jc w:val="both"/>
        <w:rPr>
          <w:lang w:val="en-US"/>
        </w:rPr>
      </w:pPr>
      <w:r w:rsidRPr="005C2C64">
        <w:rPr>
          <w:lang w:val="en-US"/>
        </w:rPr>
        <w:t xml:space="preserve">Future disbursements from the facility will take place once </w:t>
      </w:r>
      <w:r w:rsidR="00714251">
        <w:rPr>
          <w:lang w:val="en-US"/>
        </w:rPr>
        <w:t>MS</w:t>
      </w:r>
      <w:r w:rsidRPr="005C2C64">
        <w:rPr>
          <w:lang w:val="en-US"/>
        </w:rPr>
        <w:t xml:space="preserve"> reach milestones and targets set for each investment and reform.</w:t>
      </w:r>
    </w:p>
    <w:p w14:paraId="6CA587B3" w14:textId="77CB583B" w:rsidR="00A76F59" w:rsidRPr="009163E2" w:rsidRDefault="009163E2" w:rsidP="00270609">
      <w:pPr>
        <w:jc w:val="both"/>
        <w:rPr>
          <w:b/>
          <w:bCs/>
          <w:lang w:val="en-US"/>
        </w:rPr>
      </w:pPr>
      <w:r w:rsidRPr="009163E2">
        <w:rPr>
          <w:b/>
          <w:bCs/>
          <w:lang w:val="en-US"/>
        </w:rPr>
        <w:t>Background:</w:t>
      </w:r>
    </w:p>
    <w:p w14:paraId="2E7AAC5E" w14:textId="296ABEE1" w:rsidR="00510C83" w:rsidRDefault="009163E2" w:rsidP="00270609">
      <w:pPr>
        <w:jc w:val="both"/>
        <w:rPr>
          <w:lang w:val="en-US"/>
        </w:rPr>
      </w:pPr>
      <w:r>
        <w:rPr>
          <w:lang w:val="en-US"/>
        </w:rPr>
        <w:t>T</w:t>
      </w:r>
      <w:r w:rsidRPr="000C30AC">
        <w:rPr>
          <w:lang w:val="en-US"/>
        </w:rPr>
        <w:t>he</w:t>
      </w:r>
      <w:r>
        <w:rPr>
          <w:lang w:val="en-US"/>
        </w:rPr>
        <w:t xml:space="preserve"> Recovery and Resilience</w:t>
      </w:r>
      <w:r w:rsidRPr="000C30AC">
        <w:rPr>
          <w:lang w:val="en-US"/>
        </w:rPr>
        <w:t xml:space="preserve"> Facility</w:t>
      </w:r>
      <w:r>
        <w:rPr>
          <w:lang w:val="en-US"/>
        </w:rPr>
        <w:t xml:space="preserve"> allows (MS) to undertake reforms and investments in the aftermath of the COVID-19 crisis. MS must</w:t>
      </w:r>
      <w:r w:rsidRPr="000C30AC">
        <w:rPr>
          <w:lang w:val="en-US"/>
        </w:rPr>
        <w:t xml:space="preserve"> submit their </w:t>
      </w:r>
      <w:r w:rsidR="00EC25F2">
        <w:rPr>
          <w:lang w:val="en-US"/>
        </w:rPr>
        <w:t>RRP</w:t>
      </w:r>
      <w:r w:rsidRPr="000C30AC">
        <w:rPr>
          <w:lang w:val="en-US"/>
        </w:rPr>
        <w:t xml:space="preserve"> to the Commission</w:t>
      </w:r>
      <w:r>
        <w:rPr>
          <w:lang w:val="en-US"/>
        </w:rPr>
        <w:t>. These plans aim at mitigating the social and economic impact of the pandemic and at contributing to the green and digital transitions</w:t>
      </w:r>
      <w:r w:rsidR="008D10DC">
        <w:rPr>
          <w:lang w:val="en-US"/>
        </w:rPr>
        <w:t>.</w:t>
      </w:r>
      <w:r w:rsidR="001A2C89" w:rsidRPr="001A2C89">
        <w:rPr>
          <w:noProof/>
        </w:rPr>
        <w:t xml:space="preserve"> </w:t>
      </w:r>
    </w:p>
    <w:p w14:paraId="2E55E8D4" w14:textId="0D40EAD5" w:rsidR="00C273F0" w:rsidRPr="006435B2" w:rsidRDefault="00C273F0" w:rsidP="00270609">
      <w:pPr>
        <w:jc w:val="both"/>
        <w:rPr>
          <w:lang w:val="en-US"/>
        </w:rPr>
      </w:pPr>
    </w:p>
    <w:sectPr w:rsidR="00C273F0" w:rsidRPr="006435B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9EF4" w14:textId="77777777" w:rsidR="00483FF4" w:rsidRDefault="00483FF4" w:rsidP="00483FF4">
      <w:pPr>
        <w:spacing w:after="0" w:line="240" w:lineRule="auto"/>
      </w:pPr>
      <w:r>
        <w:separator/>
      </w:r>
    </w:p>
  </w:endnote>
  <w:endnote w:type="continuationSeparator" w:id="0">
    <w:p w14:paraId="72199A97" w14:textId="77777777" w:rsidR="00483FF4" w:rsidRDefault="00483FF4" w:rsidP="0048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4550" w14:textId="77777777" w:rsidR="00483FF4" w:rsidRDefault="00483FF4" w:rsidP="00483FF4">
      <w:pPr>
        <w:spacing w:after="0" w:line="240" w:lineRule="auto"/>
      </w:pPr>
      <w:r>
        <w:separator/>
      </w:r>
    </w:p>
  </w:footnote>
  <w:footnote w:type="continuationSeparator" w:id="0">
    <w:p w14:paraId="1AF53A51" w14:textId="77777777" w:rsidR="00483FF4" w:rsidRDefault="00483FF4" w:rsidP="0048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A14E" w14:textId="69EFEADA" w:rsidR="00483FF4" w:rsidRPr="00483FF4" w:rsidRDefault="00483FF4">
    <w:pPr>
      <w:pStyle w:val="Header"/>
      <w:rPr>
        <w:i/>
        <w:iCs/>
        <w:sz w:val="18"/>
        <w:szCs w:val="18"/>
        <w:lang w:val="en-US"/>
      </w:rPr>
    </w:pPr>
    <w:r w:rsidRPr="00483FF4">
      <w:rPr>
        <w:i/>
        <w:iCs/>
        <w:noProof/>
        <w:spacing w:val="-2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2D19E327" wp14:editId="53C1C5B8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1819275" cy="1009650"/>
          <wp:effectExtent l="0" t="0" r="9525" b="0"/>
          <wp:wrapTopAndBottom/>
          <wp:docPr id="33" name="Picture 33" descr="Hotrec logo final-RVB (3) 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trec logo final-RVB (3) 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3FF4">
      <w:rPr>
        <w:i/>
        <w:iCs/>
        <w:sz w:val="18"/>
        <w:szCs w:val="18"/>
        <w:lang w:val="en-US"/>
      </w:rPr>
      <w:t>D-0721-107-NM</w:t>
    </w:r>
  </w:p>
  <w:p w14:paraId="1CA225CF" w14:textId="77777777" w:rsidR="00483FF4" w:rsidRDefault="00483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45C5B"/>
    <w:multiLevelType w:val="hybridMultilevel"/>
    <w:tmpl w:val="D4185EAE"/>
    <w:lvl w:ilvl="0" w:tplc="386048D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F4"/>
    <w:rsid w:val="00060AFA"/>
    <w:rsid w:val="00075239"/>
    <w:rsid w:val="00083A13"/>
    <w:rsid w:val="000A09EB"/>
    <w:rsid w:val="000C30AC"/>
    <w:rsid w:val="001246A1"/>
    <w:rsid w:val="00125CC2"/>
    <w:rsid w:val="00132574"/>
    <w:rsid w:val="00174270"/>
    <w:rsid w:val="001940E3"/>
    <w:rsid w:val="001A2C89"/>
    <w:rsid w:val="001A3B3B"/>
    <w:rsid w:val="001D086F"/>
    <w:rsid w:val="002420EA"/>
    <w:rsid w:val="00261CFD"/>
    <w:rsid w:val="002629B5"/>
    <w:rsid w:val="00262FD6"/>
    <w:rsid w:val="002704C1"/>
    <w:rsid w:val="00270609"/>
    <w:rsid w:val="00297D99"/>
    <w:rsid w:val="002F06FC"/>
    <w:rsid w:val="003271BB"/>
    <w:rsid w:val="00392B32"/>
    <w:rsid w:val="003B5B35"/>
    <w:rsid w:val="003D0417"/>
    <w:rsid w:val="003E0FFE"/>
    <w:rsid w:val="00442B98"/>
    <w:rsid w:val="00483FF4"/>
    <w:rsid w:val="004A6583"/>
    <w:rsid w:val="004C362A"/>
    <w:rsid w:val="004D4BFB"/>
    <w:rsid w:val="00510C83"/>
    <w:rsid w:val="00522514"/>
    <w:rsid w:val="00582463"/>
    <w:rsid w:val="005C2C64"/>
    <w:rsid w:val="005C5B82"/>
    <w:rsid w:val="005D3981"/>
    <w:rsid w:val="00600001"/>
    <w:rsid w:val="00613880"/>
    <w:rsid w:val="00620F08"/>
    <w:rsid w:val="006435B2"/>
    <w:rsid w:val="00674140"/>
    <w:rsid w:val="006E4DFC"/>
    <w:rsid w:val="006E6194"/>
    <w:rsid w:val="006F3C4A"/>
    <w:rsid w:val="00701AB6"/>
    <w:rsid w:val="00714251"/>
    <w:rsid w:val="00720420"/>
    <w:rsid w:val="00743B4E"/>
    <w:rsid w:val="0075397F"/>
    <w:rsid w:val="0075779D"/>
    <w:rsid w:val="00763A7E"/>
    <w:rsid w:val="00793A63"/>
    <w:rsid w:val="007B2415"/>
    <w:rsid w:val="007C219F"/>
    <w:rsid w:val="007F74B2"/>
    <w:rsid w:val="00827DEE"/>
    <w:rsid w:val="00852098"/>
    <w:rsid w:val="0086093D"/>
    <w:rsid w:val="00892A90"/>
    <w:rsid w:val="00896DF2"/>
    <w:rsid w:val="008C091D"/>
    <w:rsid w:val="008D10DC"/>
    <w:rsid w:val="008D2E4A"/>
    <w:rsid w:val="009163E2"/>
    <w:rsid w:val="00934E30"/>
    <w:rsid w:val="00A247E2"/>
    <w:rsid w:val="00A51686"/>
    <w:rsid w:val="00A6628C"/>
    <w:rsid w:val="00A76F59"/>
    <w:rsid w:val="00A81A1B"/>
    <w:rsid w:val="00A9138B"/>
    <w:rsid w:val="00AA20FF"/>
    <w:rsid w:val="00AA3BCB"/>
    <w:rsid w:val="00AA3BD8"/>
    <w:rsid w:val="00AA3F93"/>
    <w:rsid w:val="00AB751F"/>
    <w:rsid w:val="00AD2014"/>
    <w:rsid w:val="00AF5866"/>
    <w:rsid w:val="00B73CAE"/>
    <w:rsid w:val="00B84B2C"/>
    <w:rsid w:val="00B917B7"/>
    <w:rsid w:val="00B94079"/>
    <w:rsid w:val="00BF0201"/>
    <w:rsid w:val="00C01637"/>
    <w:rsid w:val="00C273F0"/>
    <w:rsid w:val="00C27720"/>
    <w:rsid w:val="00C71C5F"/>
    <w:rsid w:val="00C77E1E"/>
    <w:rsid w:val="00CC2B6B"/>
    <w:rsid w:val="00CF028D"/>
    <w:rsid w:val="00CF04C6"/>
    <w:rsid w:val="00D040DD"/>
    <w:rsid w:val="00D11DCC"/>
    <w:rsid w:val="00D27DD7"/>
    <w:rsid w:val="00D65073"/>
    <w:rsid w:val="00D873E5"/>
    <w:rsid w:val="00DA345C"/>
    <w:rsid w:val="00DA41EC"/>
    <w:rsid w:val="00DF210C"/>
    <w:rsid w:val="00E04FC0"/>
    <w:rsid w:val="00E21788"/>
    <w:rsid w:val="00E22B65"/>
    <w:rsid w:val="00E26EE8"/>
    <w:rsid w:val="00EC25F2"/>
    <w:rsid w:val="00EC6134"/>
    <w:rsid w:val="00EC6555"/>
    <w:rsid w:val="00ED63C5"/>
    <w:rsid w:val="00F05D27"/>
    <w:rsid w:val="00F149E4"/>
    <w:rsid w:val="00F25F88"/>
    <w:rsid w:val="00F5344E"/>
    <w:rsid w:val="00F61899"/>
    <w:rsid w:val="00F8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AA5C16"/>
  <w15:chartTrackingRefBased/>
  <w15:docId w15:val="{443CA36C-A55B-46FA-9933-1865CE99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FF4"/>
  </w:style>
  <w:style w:type="paragraph" w:styleId="Footer">
    <w:name w:val="footer"/>
    <w:basedOn w:val="Normal"/>
    <w:link w:val="FooterChar"/>
    <w:uiPriority w:val="99"/>
    <w:unhideWhenUsed/>
    <w:rsid w:val="00483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FF4"/>
  </w:style>
  <w:style w:type="paragraph" w:styleId="ListParagraph">
    <w:name w:val="List Paragraph"/>
    <w:basedOn w:val="Normal"/>
    <w:uiPriority w:val="34"/>
    <w:qFormat/>
    <w:rsid w:val="00EC6134"/>
    <w:pPr>
      <w:ind w:left="720"/>
      <w:contextualSpacing/>
    </w:pPr>
  </w:style>
  <w:style w:type="table" w:styleId="TableGrid">
    <w:name w:val="Table Grid"/>
    <w:basedOn w:val="TableNormal"/>
    <w:uiPriority w:val="39"/>
    <w:rsid w:val="00B94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5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info/business-economy-euro/recovery-coronavirus/recovery-and-resilience-facility/recovery-and-resilience-plans-assessments_e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otrec.eu/national-recovery-plans/?et_fb=1&amp;PageSpeed=of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2F6093989E347A7B4AB2A587D2A58" ma:contentTypeVersion="7" ma:contentTypeDescription="Create a new document." ma:contentTypeScope="" ma:versionID="8128e7afcd5104e7b12d14c0e34168c6">
  <xsd:schema xmlns:xsd="http://www.w3.org/2001/XMLSchema" xmlns:xs="http://www.w3.org/2001/XMLSchema" xmlns:p="http://schemas.microsoft.com/office/2006/metadata/properties" xmlns:ns2="99a9ceba-819f-42de-ab07-1885fd480531" targetNamespace="http://schemas.microsoft.com/office/2006/metadata/properties" ma:root="true" ma:fieldsID="ae5b5a09a5fe53d7f01ada5ea87d5f0f" ns2:_="">
    <xsd:import namespace="99a9ceba-819f-42de-ab07-1885fd480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9ceba-819f-42de-ab07-1885fd480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5AD69-85FA-4E35-A8AC-ABA1C444F4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940C2F-4529-4592-B088-28721B0A4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49B5F-0C58-4FC7-84A7-D6455E54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9ceba-819f-42de-ab07-1885fd480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Martin</dc:creator>
  <cp:keywords/>
  <dc:description/>
  <cp:lastModifiedBy>Noémie Martin</cp:lastModifiedBy>
  <cp:revision>104</cp:revision>
  <cp:lastPrinted>2021-07-27T15:02:00Z</cp:lastPrinted>
  <dcterms:created xsi:type="dcterms:W3CDTF">2021-07-27T07:09:00Z</dcterms:created>
  <dcterms:modified xsi:type="dcterms:W3CDTF">2021-07-27T15:55:00Z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0x0101007732F6093989E347A7B4AB2A587D2A58</vt:lpwstr>
  </property>
</Properties>
</file>