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F0F5" w14:textId="77777777" w:rsidR="00022A99" w:rsidRDefault="00022A99" w:rsidP="003C0F6D">
      <w:pPr>
        <w:jc w:val="center"/>
        <w:rPr>
          <w:b/>
          <w:bCs/>
          <w:sz w:val="28"/>
          <w:szCs w:val="28"/>
        </w:rPr>
      </w:pPr>
    </w:p>
    <w:p w14:paraId="093F2072" w14:textId="79BAA0EF" w:rsidR="003C0F6D" w:rsidRPr="00730DD9" w:rsidRDefault="00291359" w:rsidP="003C0F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 standardisation initiative </w:t>
      </w:r>
      <w:r w:rsidR="00D933C8">
        <w:rPr>
          <w:b/>
          <w:bCs/>
          <w:sz w:val="28"/>
          <w:szCs w:val="28"/>
        </w:rPr>
        <w:t>on COVID-19 tourism health protocols</w:t>
      </w:r>
      <w:r w:rsidR="00D933C8">
        <w:rPr>
          <w:b/>
          <w:bCs/>
          <w:sz w:val="28"/>
          <w:szCs w:val="28"/>
        </w:rPr>
        <w:br/>
        <w:t>HOTREC Member consultation</w:t>
      </w:r>
      <w:r w:rsidRPr="00730DD9">
        <w:rPr>
          <w:b/>
          <w:bCs/>
          <w:sz w:val="28"/>
          <w:szCs w:val="28"/>
        </w:rPr>
        <w:t xml:space="preserve"> </w:t>
      </w:r>
    </w:p>
    <w:p w14:paraId="05166A9E" w14:textId="26F2EB85" w:rsidR="00F14A34" w:rsidRPr="00F14A34" w:rsidRDefault="00F14A34" w:rsidP="00730DD9">
      <w:pPr>
        <w:rPr>
          <w:b/>
          <w:bCs/>
        </w:rPr>
      </w:pPr>
      <w:r w:rsidRPr="00F14A34">
        <w:rPr>
          <w:b/>
          <w:bCs/>
        </w:rPr>
        <w:t>1. The issue</w:t>
      </w:r>
    </w:p>
    <w:p w14:paraId="310F0870" w14:textId="1FAD4DA0" w:rsidR="00466E0E" w:rsidRDefault="00730DD9" w:rsidP="00466E0E">
      <w:r>
        <w:t xml:space="preserve">On 10 January 2021, CEN and CENELEC received a letter from the European Commission (EC) (see </w:t>
      </w:r>
      <w:r w:rsidR="00D53A76">
        <w:t xml:space="preserve">letter in </w:t>
      </w:r>
      <w:r>
        <w:t>Annex), requesting the development of a European standardisation deliverable for</w:t>
      </w:r>
      <w:r w:rsidR="00FA4708">
        <w:t xml:space="preserve"> </w:t>
      </w:r>
      <w:r>
        <w:t>COVID-19 health and safety protocols for tourism establishments and services.</w:t>
      </w:r>
      <w:r w:rsidR="002A5656">
        <w:t xml:space="preserve"> </w:t>
      </w:r>
      <w:r w:rsidR="00466E0E">
        <w:t>The European Commission recommends that the standardisation deliverable document:</w:t>
      </w:r>
    </w:p>
    <w:p w14:paraId="4093F385" w14:textId="78B79EC5" w:rsidR="003A3DD3" w:rsidRDefault="00270A76" w:rsidP="00466E0E">
      <w:pPr>
        <w:pStyle w:val="ListParagraph"/>
        <w:numPr>
          <w:ilvl w:val="0"/>
          <w:numId w:val="7"/>
        </w:numPr>
      </w:pPr>
      <w:r>
        <w:t>b</w:t>
      </w:r>
      <w:r w:rsidR="00466E0E">
        <w:t xml:space="preserve">e made available free of </w:t>
      </w:r>
      <w:proofErr w:type="gramStart"/>
      <w:r w:rsidR="00466E0E">
        <w:t>charge</w:t>
      </w:r>
      <w:r w:rsidR="003A3DD3">
        <w:t>;</w:t>
      </w:r>
      <w:proofErr w:type="gramEnd"/>
    </w:p>
    <w:p w14:paraId="015F9A30" w14:textId="60953E79" w:rsidR="00466E0E" w:rsidRDefault="00466E0E" w:rsidP="00466E0E">
      <w:pPr>
        <w:pStyle w:val="ListParagraph"/>
        <w:numPr>
          <w:ilvl w:val="0"/>
          <w:numId w:val="7"/>
        </w:numPr>
      </w:pPr>
      <w:r>
        <w:t xml:space="preserve">includes a visual identity or equivalent, which can be displayed by businesses and be seen and understood by </w:t>
      </w:r>
      <w:proofErr w:type="gramStart"/>
      <w:r>
        <w:t>consumers</w:t>
      </w:r>
      <w:r w:rsidR="003A3DD3">
        <w:t>;</w:t>
      </w:r>
      <w:proofErr w:type="gramEnd"/>
      <w:r>
        <w:t xml:space="preserve"> </w:t>
      </w:r>
    </w:p>
    <w:p w14:paraId="38E4050D" w14:textId="6E4CD116" w:rsidR="00466E0E" w:rsidRDefault="00466E0E" w:rsidP="00466E0E">
      <w:pPr>
        <w:pStyle w:val="ListParagraph"/>
        <w:numPr>
          <w:ilvl w:val="0"/>
          <w:numId w:val="7"/>
        </w:numPr>
      </w:pPr>
      <w:r>
        <w:t>include</w:t>
      </w:r>
      <w:r w:rsidR="00D96D7E">
        <w:t>s s</w:t>
      </w:r>
      <w:r>
        <w:t>ufficient flexib</w:t>
      </w:r>
      <w:r w:rsidR="00D96D7E">
        <w:t xml:space="preserve">le </w:t>
      </w:r>
      <w:proofErr w:type="spellStart"/>
      <w:r w:rsidR="00D96D7E">
        <w:t>protocls</w:t>
      </w:r>
      <w:proofErr w:type="spellEnd"/>
      <w:r>
        <w:t xml:space="preserve"> to be further developed and adapted, according to the specific nature and needs of destinations, </w:t>
      </w:r>
      <w:proofErr w:type="gramStart"/>
      <w:r>
        <w:t>services</w:t>
      </w:r>
      <w:proofErr w:type="gramEnd"/>
      <w:r>
        <w:t xml:space="preserve"> or establishments.</w:t>
      </w:r>
    </w:p>
    <w:p w14:paraId="2F525DD0" w14:textId="18F4E4EF" w:rsidR="0049021F" w:rsidRDefault="0049021F" w:rsidP="0049021F">
      <w:r>
        <w:t xml:space="preserve">So far, our understanding is that this standard could be largely inspired by ISO’s ongoing work </w:t>
      </w:r>
      <w:r w:rsidR="00801EF2">
        <w:t xml:space="preserve">on </w:t>
      </w:r>
      <w:r w:rsidR="00867820">
        <w:t>ISO PAS 5643 (</w:t>
      </w:r>
      <w:hyperlink r:id="rId10" w:history="1">
        <w:r w:rsidR="00867820" w:rsidRPr="003E578F">
          <w:rPr>
            <w:rStyle w:val="Hyperlink"/>
            <w:rFonts w:cstheme="minorHAnsi"/>
            <w:lang w:eastAsia="en-GB"/>
          </w:rPr>
          <w:t xml:space="preserve"> ‘Guidelines for the prevention from COVID-19 in the tourism industry’</w:t>
        </w:r>
      </w:hyperlink>
      <w:r w:rsidR="00867820">
        <w:rPr>
          <w:rStyle w:val="Hyperlink"/>
          <w:rFonts w:cstheme="minorHAnsi"/>
          <w:lang w:eastAsia="en-GB"/>
        </w:rPr>
        <w:t xml:space="preserve">) </w:t>
      </w:r>
      <w:r>
        <w:t>and rapidly transposed into an European standard via the so-called ‘</w:t>
      </w:r>
      <w:hyperlink r:id="rId11" w:history="1">
        <w:r w:rsidRPr="00CE502E">
          <w:rPr>
            <w:rStyle w:val="Hyperlink"/>
          </w:rPr>
          <w:t>Vienna Agreement’</w:t>
        </w:r>
      </w:hyperlink>
      <w:r>
        <w:t>. However</w:t>
      </w:r>
      <w:r w:rsidR="00286890">
        <w:t>,</w:t>
      </w:r>
      <w:r>
        <w:t xml:space="preserve"> the letter seems to indicate that the European Commission is not entirely satisfied with ISO’s progress: “It is particularly important to fill a void of coordinated guidance, until the ISO PAS currently in preparation will be published.”</w:t>
      </w:r>
    </w:p>
    <w:p w14:paraId="59BBD91B" w14:textId="5BFAF007" w:rsidR="00466E0E" w:rsidRPr="0088743F" w:rsidRDefault="00466E0E" w:rsidP="00466E0E">
      <w:pPr>
        <w:rPr>
          <w:b/>
          <w:bCs/>
        </w:rPr>
      </w:pPr>
      <w:r w:rsidRPr="0088743F">
        <w:rPr>
          <w:b/>
          <w:bCs/>
        </w:rPr>
        <w:t xml:space="preserve">HOTREC </w:t>
      </w:r>
      <w:r w:rsidR="002304E0" w:rsidRPr="0088743F">
        <w:rPr>
          <w:b/>
          <w:bCs/>
        </w:rPr>
        <w:t>therefore wishes to consult</w:t>
      </w:r>
      <w:r w:rsidRPr="0088743F">
        <w:rPr>
          <w:b/>
          <w:bCs/>
        </w:rPr>
        <w:t xml:space="preserve"> Members </w:t>
      </w:r>
      <w:r w:rsidR="0088743F" w:rsidRPr="0088743F">
        <w:rPr>
          <w:b/>
          <w:bCs/>
        </w:rPr>
        <w:t xml:space="preserve">to gather initial views </w:t>
      </w:r>
      <w:r w:rsidRPr="0088743F">
        <w:rPr>
          <w:b/>
          <w:bCs/>
        </w:rPr>
        <w:t>on whether an additional standardisation initiative via CEN would be desirable</w:t>
      </w:r>
      <w:r w:rsidR="00884252" w:rsidRPr="0088743F">
        <w:rPr>
          <w:b/>
          <w:bCs/>
        </w:rPr>
        <w:t xml:space="preserve"> for the European hospitality market</w:t>
      </w:r>
      <w:r w:rsidR="003671DA">
        <w:rPr>
          <w:b/>
          <w:bCs/>
        </w:rPr>
        <w:t>, and what type of option</w:t>
      </w:r>
      <w:r w:rsidR="001907E7">
        <w:rPr>
          <w:b/>
          <w:bCs/>
        </w:rPr>
        <w:t>, if any,</w:t>
      </w:r>
      <w:r w:rsidR="003671DA">
        <w:rPr>
          <w:b/>
          <w:bCs/>
        </w:rPr>
        <w:t xml:space="preserve"> would be preferrable (see below 2. The process). </w:t>
      </w:r>
      <w:r w:rsidR="001D6688">
        <w:rPr>
          <w:b/>
          <w:bCs/>
        </w:rPr>
        <w:t xml:space="preserve">Your views would be most welcome by </w:t>
      </w:r>
      <w:r w:rsidR="00EA25DB">
        <w:rPr>
          <w:b/>
          <w:bCs/>
        </w:rPr>
        <w:t xml:space="preserve">10 February 2021. </w:t>
      </w:r>
    </w:p>
    <w:p w14:paraId="5ED979A6" w14:textId="673804D1" w:rsidR="00466E0E" w:rsidRDefault="00466E0E" w:rsidP="00466E0E"/>
    <w:p w14:paraId="6B1DA65B" w14:textId="5AFCE627" w:rsidR="00E15A6A" w:rsidRDefault="00E15A6A" w:rsidP="003376FD">
      <w:pPr>
        <w:spacing w:line="276" w:lineRule="auto"/>
        <w:rPr>
          <w:b/>
          <w:bCs/>
        </w:rPr>
      </w:pPr>
      <w:r w:rsidRPr="00E15A6A">
        <w:rPr>
          <w:b/>
          <w:bCs/>
        </w:rPr>
        <w:t>2. The process</w:t>
      </w:r>
    </w:p>
    <w:p w14:paraId="10AB6DA4" w14:textId="77F3B934" w:rsidR="00866C0B" w:rsidRDefault="00F72F1B" w:rsidP="003376FD">
      <w:pPr>
        <w:autoSpaceDE w:val="0"/>
        <w:autoSpaceDN w:val="0"/>
        <w:adjustRightInd w:val="0"/>
        <w:spacing w:after="0" w:line="276" w:lineRule="auto"/>
      </w:pPr>
      <w:r w:rsidRPr="00866C0B">
        <w:t xml:space="preserve">The </w:t>
      </w:r>
      <w:hyperlink r:id="rId12" w:history="1">
        <w:r w:rsidRPr="00802583">
          <w:rPr>
            <w:rStyle w:val="Hyperlink"/>
          </w:rPr>
          <w:t xml:space="preserve">CEN </w:t>
        </w:r>
        <w:r w:rsidR="00866C0B" w:rsidRPr="00802583">
          <w:rPr>
            <w:rStyle w:val="Hyperlink"/>
          </w:rPr>
          <w:t xml:space="preserve">Management </w:t>
        </w:r>
        <w:proofErr w:type="spellStart"/>
        <w:r w:rsidR="00866C0B" w:rsidRPr="00802583">
          <w:rPr>
            <w:rStyle w:val="Hyperlink"/>
          </w:rPr>
          <w:t>Center</w:t>
        </w:r>
        <w:proofErr w:type="spellEnd"/>
        <w:r w:rsidR="00866C0B" w:rsidRPr="00802583">
          <w:rPr>
            <w:rStyle w:val="Hyperlink"/>
          </w:rPr>
          <w:t xml:space="preserve"> (CMCC)</w:t>
        </w:r>
      </w:hyperlink>
      <w:r w:rsidR="00866C0B" w:rsidRPr="00866C0B">
        <w:t xml:space="preserve"> met</w:t>
      </w:r>
      <w:r w:rsidRPr="00866C0B">
        <w:t xml:space="preserve"> on 26 January 2021 </w:t>
      </w:r>
      <w:r w:rsidR="00934E3D">
        <w:t xml:space="preserve">with the </w:t>
      </w:r>
      <w:hyperlink r:id="rId13" w:history="1">
        <w:r w:rsidR="00934E3D" w:rsidRPr="00934E3D">
          <w:rPr>
            <w:rStyle w:val="Hyperlink"/>
          </w:rPr>
          <w:t>CEN Technical B</w:t>
        </w:r>
        <w:r w:rsidR="004B5760">
          <w:rPr>
            <w:rStyle w:val="Hyperlink"/>
          </w:rPr>
          <w:t>oard</w:t>
        </w:r>
        <w:r w:rsidR="00934E3D" w:rsidRPr="00934E3D">
          <w:rPr>
            <w:rStyle w:val="Hyperlink"/>
          </w:rPr>
          <w:t xml:space="preserve"> (BT)</w:t>
        </w:r>
      </w:hyperlink>
      <w:r w:rsidR="00934E3D">
        <w:t xml:space="preserve"> </w:t>
      </w:r>
      <w:r w:rsidRPr="00866C0B">
        <w:t>to agree on a way forward.</w:t>
      </w:r>
      <w:r w:rsidR="00866C0B">
        <w:t xml:space="preserve"> </w:t>
      </w:r>
      <w:r w:rsidRPr="00866C0B">
        <w:t xml:space="preserve">Possible ways forward could be: </w:t>
      </w:r>
    </w:p>
    <w:p w14:paraId="13D3C705" w14:textId="345D7FB4" w:rsidR="003E4C22" w:rsidRDefault="00F72F1B" w:rsidP="003376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</w:pPr>
      <w:r w:rsidRPr="00866C0B">
        <w:t xml:space="preserve">the development of a </w:t>
      </w:r>
      <w:hyperlink r:id="rId14" w:history="1">
        <w:r w:rsidRPr="003376FD">
          <w:rPr>
            <w:rStyle w:val="Hyperlink"/>
          </w:rPr>
          <w:t>C</w:t>
        </w:r>
        <w:r w:rsidR="004F7165" w:rsidRPr="003376FD">
          <w:rPr>
            <w:rStyle w:val="Hyperlink"/>
          </w:rPr>
          <w:t xml:space="preserve">EN </w:t>
        </w:r>
        <w:r w:rsidRPr="003376FD">
          <w:rPr>
            <w:rStyle w:val="Hyperlink"/>
          </w:rPr>
          <w:t>W</w:t>
        </w:r>
        <w:r w:rsidR="004F7165" w:rsidRPr="003376FD">
          <w:rPr>
            <w:rStyle w:val="Hyperlink"/>
          </w:rPr>
          <w:t xml:space="preserve">orkshop </w:t>
        </w:r>
        <w:r w:rsidRPr="003376FD">
          <w:rPr>
            <w:rStyle w:val="Hyperlink"/>
          </w:rPr>
          <w:t>A</w:t>
        </w:r>
        <w:r w:rsidR="004F7165" w:rsidRPr="003376FD">
          <w:rPr>
            <w:rStyle w:val="Hyperlink"/>
          </w:rPr>
          <w:t>greement (CWA)</w:t>
        </w:r>
      </w:hyperlink>
      <w:r w:rsidRPr="00866C0B">
        <w:t>, based on existing national</w:t>
      </w:r>
      <w:r w:rsidR="003E4C22">
        <w:t xml:space="preserve"> </w:t>
      </w:r>
      <w:r w:rsidRPr="00866C0B">
        <w:t xml:space="preserve">specifications; </w:t>
      </w:r>
    </w:p>
    <w:p w14:paraId="45FD13F4" w14:textId="77777777" w:rsidR="003A4958" w:rsidRDefault="00F72F1B" w:rsidP="003376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</w:pPr>
      <w:r w:rsidRPr="00866C0B">
        <w:t>the adoption of the ISO PAS 5643 (once published by ISO) as a European</w:t>
      </w:r>
      <w:r w:rsidR="003E4C22">
        <w:t xml:space="preserve"> </w:t>
      </w:r>
      <w:r w:rsidRPr="00866C0B">
        <w:t xml:space="preserve">deliverable (noting that this will require negotiations with ISO). </w:t>
      </w:r>
    </w:p>
    <w:p w14:paraId="327AD0FC" w14:textId="6BE2C01A" w:rsidR="00F72F1B" w:rsidRPr="00866C0B" w:rsidRDefault="00286890" w:rsidP="003376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</w:pPr>
      <w:r>
        <w:t>Any o</w:t>
      </w:r>
      <w:r w:rsidR="00F72F1B" w:rsidRPr="00866C0B">
        <w:t>ther more</w:t>
      </w:r>
      <w:r w:rsidR="003A4958">
        <w:t xml:space="preserve"> </w:t>
      </w:r>
      <w:r w:rsidR="00F72F1B" w:rsidRPr="00866C0B">
        <w:t>suitable options.</w:t>
      </w:r>
    </w:p>
    <w:p w14:paraId="4F7FBE15" w14:textId="77777777" w:rsidR="00286890" w:rsidRDefault="00286890" w:rsidP="003376FD">
      <w:pPr>
        <w:autoSpaceDE w:val="0"/>
        <w:autoSpaceDN w:val="0"/>
        <w:adjustRightInd w:val="0"/>
        <w:spacing w:after="0" w:line="276" w:lineRule="auto"/>
      </w:pPr>
    </w:p>
    <w:p w14:paraId="30730022" w14:textId="77777777" w:rsidR="00EA25DB" w:rsidRDefault="00F72F1B" w:rsidP="003376FD">
      <w:pPr>
        <w:autoSpaceDE w:val="0"/>
        <w:autoSpaceDN w:val="0"/>
        <w:adjustRightInd w:val="0"/>
        <w:spacing w:after="0" w:line="276" w:lineRule="auto"/>
      </w:pPr>
      <w:r w:rsidRPr="00866C0B">
        <w:t xml:space="preserve">In case the CWA is chosen, UNE </w:t>
      </w:r>
      <w:r w:rsidR="00E754E5">
        <w:t xml:space="preserve">(Spanish institute for standardisation) </w:t>
      </w:r>
      <w:r w:rsidRPr="00866C0B">
        <w:t>has expressed its will to coordinate and provide the</w:t>
      </w:r>
      <w:r w:rsidR="003376FD">
        <w:t xml:space="preserve"> </w:t>
      </w:r>
      <w:r w:rsidRPr="00866C0B">
        <w:t>secretariat of the workshop, as UNE is also leading the works at ISO level.</w:t>
      </w:r>
      <w:r w:rsidR="003C08EB">
        <w:t xml:space="preserve"> </w:t>
      </w:r>
    </w:p>
    <w:p w14:paraId="04812970" w14:textId="77777777" w:rsidR="001B7D28" w:rsidRDefault="001B7D28" w:rsidP="006475F9">
      <w:pPr>
        <w:autoSpaceDE w:val="0"/>
        <w:autoSpaceDN w:val="0"/>
        <w:adjustRightInd w:val="0"/>
        <w:spacing w:after="0" w:line="276" w:lineRule="auto"/>
      </w:pPr>
    </w:p>
    <w:p w14:paraId="68E6A48B" w14:textId="1B799617" w:rsidR="001B7D28" w:rsidRDefault="00FE4286" w:rsidP="006475F9">
      <w:pPr>
        <w:autoSpaceDE w:val="0"/>
        <w:autoSpaceDN w:val="0"/>
        <w:adjustRightInd w:val="0"/>
        <w:spacing w:after="0" w:line="276" w:lineRule="auto"/>
      </w:pPr>
      <w:r>
        <w:lastRenderedPageBreak/>
        <w:t xml:space="preserve">It </w:t>
      </w:r>
      <w:r w:rsidR="004B5760">
        <w:t xml:space="preserve">also </w:t>
      </w:r>
      <w:r>
        <w:t xml:space="preserve">should be noted </w:t>
      </w:r>
      <w:r w:rsidR="0016571C">
        <w:t>that</w:t>
      </w:r>
      <w:r w:rsidR="001B7D28">
        <w:t>:</w:t>
      </w:r>
    </w:p>
    <w:p w14:paraId="1541599D" w14:textId="09ACC1EF" w:rsidR="004B5760" w:rsidRPr="004B5760" w:rsidRDefault="0016571C" w:rsidP="001B7D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u w:val="single"/>
        </w:rPr>
      </w:pPr>
      <w:r>
        <w:t xml:space="preserve"> a CWA</w:t>
      </w:r>
      <w:r w:rsidR="00066EC2">
        <w:t xml:space="preserve"> d</w:t>
      </w:r>
      <w:r w:rsidR="00066EC2" w:rsidRPr="00066EC2">
        <w:t>oes not have the status of a European Standard</w:t>
      </w:r>
      <w:r w:rsidR="003F1CE7">
        <w:t xml:space="preserve"> and </w:t>
      </w:r>
      <w:r w:rsidR="00066EC2" w:rsidRPr="00066EC2">
        <w:t xml:space="preserve">involves no obligation at national level. </w:t>
      </w:r>
      <w:r>
        <w:t xml:space="preserve"> </w:t>
      </w:r>
    </w:p>
    <w:p w14:paraId="439897DC" w14:textId="77777777" w:rsidR="004B5760" w:rsidRPr="004B5760" w:rsidRDefault="004B5760" w:rsidP="004B5760">
      <w:pPr>
        <w:pStyle w:val="ListParagraph"/>
        <w:autoSpaceDE w:val="0"/>
        <w:autoSpaceDN w:val="0"/>
        <w:adjustRightInd w:val="0"/>
        <w:spacing w:after="0" w:line="276" w:lineRule="auto"/>
        <w:rPr>
          <w:u w:val="single"/>
        </w:rPr>
      </w:pPr>
    </w:p>
    <w:p w14:paraId="5CF543E1" w14:textId="1B706D88" w:rsidR="00EA25DB" w:rsidRPr="001B7D28" w:rsidRDefault="004B5760" w:rsidP="001B7D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u w:val="single"/>
        </w:rPr>
      </w:pPr>
      <w:r>
        <w:t xml:space="preserve">A CWA procedure </w:t>
      </w:r>
      <w:r w:rsidR="0016571C" w:rsidRPr="0016571C">
        <w:t>is open to the direct participation of anyone with an interest in the development of the agreement.</w:t>
      </w:r>
    </w:p>
    <w:p w14:paraId="5F779D91" w14:textId="77777777" w:rsidR="006475F9" w:rsidRPr="006475F9" w:rsidRDefault="006475F9" w:rsidP="006475F9">
      <w:pPr>
        <w:pStyle w:val="ListParagraph"/>
        <w:autoSpaceDE w:val="0"/>
        <w:autoSpaceDN w:val="0"/>
        <w:adjustRightInd w:val="0"/>
        <w:spacing w:after="0" w:line="276" w:lineRule="auto"/>
        <w:rPr>
          <w:u w:val="single"/>
        </w:rPr>
      </w:pPr>
    </w:p>
    <w:p w14:paraId="2504C449" w14:textId="73CC259E" w:rsidR="006475F9" w:rsidRPr="006475F9" w:rsidRDefault="006475F9" w:rsidP="006475F9">
      <w:pPr>
        <w:pStyle w:val="ListParagraph"/>
        <w:numPr>
          <w:ilvl w:val="0"/>
          <w:numId w:val="7"/>
        </w:numPr>
      </w:pPr>
      <w:r w:rsidRPr="00564370">
        <w:t xml:space="preserve">HOTREC </w:t>
      </w:r>
      <w:r>
        <w:t>is currently preparing a contribution</w:t>
      </w:r>
      <w:r w:rsidRPr="00564370">
        <w:t xml:space="preserve"> to ISO’s ongoing work on </w:t>
      </w:r>
      <w:r>
        <w:t xml:space="preserve">ISO PAS 5643 on </w:t>
      </w:r>
      <w:r w:rsidRPr="00564370">
        <w:t>guidance for the tourism sector</w:t>
      </w:r>
      <w:r>
        <w:t xml:space="preserve"> and has consulted Members on this topic</w:t>
      </w:r>
      <w:r w:rsidR="001B7D28">
        <w:t>. This process will also lead to guidelines rather than a</w:t>
      </w:r>
      <w:r w:rsidR="001907E7">
        <w:t xml:space="preserve"> more binding international </w:t>
      </w:r>
      <w:proofErr w:type="spellStart"/>
      <w:r w:rsidR="001907E7">
        <w:t>syandard</w:t>
      </w:r>
      <w:proofErr w:type="spellEnd"/>
      <w:r w:rsidR="001907E7">
        <w:t xml:space="preserve">. </w:t>
      </w:r>
      <w:r>
        <w:t xml:space="preserve"> </w:t>
      </w:r>
    </w:p>
    <w:p w14:paraId="5B2D1DFD" w14:textId="7D009E29" w:rsidR="001D6688" w:rsidRPr="00EA25DB" w:rsidRDefault="001D6688" w:rsidP="00EA25DB">
      <w:pPr>
        <w:autoSpaceDE w:val="0"/>
        <w:autoSpaceDN w:val="0"/>
        <w:adjustRightInd w:val="0"/>
        <w:spacing w:after="0" w:line="276" w:lineRule="auto"/>
        <w:rPr>
          <w:u w:val="single"/>
        </w:rPr>
      </w:pPr>
      <w:r w:rsidRPr="001D6688">
        <w:t>The CEN Tech</w:t>
      </w:r>
      <w:r>
        <w:t>n</w:t>
      </w:r>
      <w:r w:rsidRPr="001D6688">
        <w:t xml:space="preserve">ical </w:t>
      </w:r>
      <w:r w:rsidR="004B5760">
        <w:t>Board</w:t>
      </w:r>
      <w:r w:rsidRPr="001D6688">
        <w:t xml:space="preserve"> will reconvene on 18 February 2021.</w:t>
      </w:r>
      <w:r w:rsidRPr="00EA25DB">
        <w:rPr>
          <w:u w:val="single"/>
        </w:rPr>
        <w:t xml:space="preserve"> The target date for the adoption of the CEN deliverable is 21 April 2021.</w:t>
      </w:r>
    </w:p>
    <w:p w14:paraId="7B06C9D5" w14:textId="76748B7E" w:rsidR="001D6688" w:rsidRDefault="001D6688" w:rsidP="003376FD">
      <w:pPr>
        <w:autoSpaceDE w:val="0"/>
        <w:autoSpaceDN w:val="0"/>
        <w:adjustRightInd w:val="0"/>
        <w:spacing w:after="0" w:line="276" w:lineRule="auto"/>
        <w:rPr>
          <w:u w:val="single"/>
        </w:rPr>
      </w:pPr>
    </w:p>
    <w:p w14:paraId="70184C38" w14:textId="77777777" w:rsidR="00022A99" w:rsidRPr="00066EC2" w:rsidRDefault="00022A99" w:rsidP="003376FD">
      <w:pPr>
        <w:autoSpaceDE w:val="0"/>
        <w:autoSpaceDN w:val="0"/>
        <w:adjustRightInd w:val="0"/>
        <w:spacing w:after="0" w:line="276" w:lineRule="auto"/>
        <w:rPr>
          <w:u w:val="single"/>
        </w:rPr>
      </w:pPr>
    </w:p>
    <w:p w14:paraId="1F9E5075" w14:textId="54D2738D" w:rsidR="003C0F6D" w:rsidRDefault="00653DF1" w:rsidP="003C0F6D">
      <w:pPr>
        <w:rPr>
          <w:b/>
          <w:bCs/>
        </w:rPr>
      </w:pPr>
      <w:r>
        <w:rPr>
          <w:b/>
          <w:bCs/>
        </w:rPr>
        <w:t>3</w:t>
      </w:r>
      <w:r w:rsidR="003C0F6D" w:rsidRPr="003C0F6D">
        <w:rPr>
          <w:b/>
          <w:bCs/>
        </w:rPr>
        <w:t xml:space="preserve">. </w:t>
      </w:r>
      <w:r w:rsidR="003C08EB">
        <w:rPr>
          <w:b/>
          <w:bCs/>
        </w:rPr>
        <w:t>Our initial assessment</w:t>
      </w:r>
    </w:p>
    <w:p w14:paraId="1D40AAD2" w14:textId="6E08EBFF" w:rsidR="00835396" w:rsidRDefault="00AC7248" w:rsidP="00564370">
      <w:proofErr w:type="gramStart"/>
      <w:r>
        <w:t>With regard to</w:t>
      </w:r>
      <w:proofErr w:type="gramEnd"/>
      <w:r>
        <w:t xml:space="preserve"> the CEN initiative, </w:t>
      </w:r>
      <w:r w:rsidR="00564370" w:rsidRPr="00564370">
        <w:t xml:space="preserve">HOTREC </w:t>
      </w:r>
      <w:r w:rsidR="00835396">
        <w:t xml:space="preserve">could issue the following general </w:t>
      </w:r>
      <w:r w:rsidR="00C90CD8">
        <w:t>view</w:t>
      </w:r>
      <w:r w:rsidR="00835396">
        <w:t>:</w:t>
      </w:r>
    </w:p>
    <w:p w14:paraId="28A7B9AC" w14:textId="3090C65C" w:rsidR="003C08EB" w:rsidRPr="00835396" w:rsidRDefault="00835396" w:rsidP="00564370">
      <w:pPr>
        <w:rPr>
          <w:i/>
          <w:iCs/>
        </w:rPr>
      </w:pPr>
      <w:r>
        <w:rPr>
          <w:i/>
          <w:iCs/>
        </w:rPr>
        <w:t>“</w:t>
      </w:r>
      <w:r w:rsidRPr="00835396">
        <w:rPr>
          <w:i/>
          <w:iCs/>
        </w:rPr>
        <w:t xml:space="preserve">HOTREC </w:t>
      </w:r>
      <w:r w:rsidR="00564370" w:rsidRPr="00835396">
        <w:rPr>
          <w:i/>
          <w:iCs/>
        </w:rPr>
        <w:t>supports international guidance which is conducive to rebuilding consumers’/travellers’ trust in tourism and addresses their concerns regarding health and safety in tourism establishments. At the same time, a multiplication of international initiatives may not align with the hospitality sector’s need for clarity and consistency regarding guidance. Furthermore, the development of binding standards (</w:t>
      </w:r>
      <w:proofErr w:type="gramStart"/>
      <w:r w:rsidR="00564370" w:rsidRPr="00835396">
        <w:rPr>
          <w:i/>
          <w:iCs/>
        </w:rPr>
        <w:t>i.e.</w:t>
      </w:r>
      <w:proofErr w:type="gramEnd"/>
      <w:r w:rsidR="00564370" w:rsidRPr="00835396">
        <w:rPr>
          <w:i/>
          <w:iCs/>
        </w:rPr>
        <w:t xml:space="preserve"> via CEN) may create additional costs and burden for a sector that has been hit extremely hard over the course of the past year.</w:t>
      </w:r>
      <w:r>
        <w:rPr>
          <w:i/>
          <w:iCs/>
        </w:rPr>
        <w:t>”</w:t>
      </w:r>
    </w:p>
    <w:p w14:paraId="3DD54D75" w14:textId="7D48802F" w:rsidR="00564370" w:rsidRDefault="004C5EE1" w:rsidP="00564370">
      <w:r>
        <w:t xml:space="preserve">It should be noted that the current description of the CEN deliverable is not incompatible with this view </w:t>
      </w:r>
      <w:r w:rsidR="002A5656">
        <w:t xml:space="preserve">as the deliverable can be expected to be free of charge, flexible and include a visual identity that can be clearly understood by consumers. </w:t>
      </w:r>
    </w:p>
    <w:p w14:paraId="24CDE48C" w14:textId="77777777" w:rsidR="004C5EE1" w:rsidRPr="00564370" w:rsidRDefault="004C5EE1" w:rsidP="00564370"/>
    <w:p w14:paraId="5919007F" w14:textId="764B1770" w:rsidR="003C08EB" w:rsidRPr="003C08EB" w:rsidRDefault="003C08EB" w:rsidP="003C08EB">
      <w:pPr>
        <w:rPr>
          <w:b/>
          <w:bCs/>
        </w:rPr>
      </w:pPr>
      <w:r>
        <w:rPr>
          <w:b/>
          <w:bCs/>
        </w:rPr>
        <w:t xml:space="preserve">4. </w:t>
      </w:r>
      <w:r w:rsidRPr="003C08EB">
        <w:rPr>
          <w:b/>
          <w:bCs/>
        </w:rPr>
        <w:t>Background information</w:t>
      </w:r>
    </w:p>
    <w:p w14:paraId="0F102E6B" w14:textId="7859442E" w:rsidR="00653DF1" w:rsidRPr="003E578F" w:rsidRDefault="00653DF1" w:rsidP="00653DF1">
      <w:pPr>
        <w:rPr>
          <w:rFonts w:cstheme="minorHAnsi"/>
        </w:rPr>
      </w:pPr>
      <w:r>
        <w:rPr>
          <w:rFonts w:cstheme="minorHAnsi"/>
        </w:rPr>
        <w:t xml:space="preserve">In the addition to the CEN initiative, </w:t>
      </w:r>
      <w:r w:rsidR="00E15A6A">
        <w:rPr>
          <w:rFonts w:cstheme="minorHAnsi"/>
        </w:rPr>
        <w:t>three other initiatives</w:t>
      </w:r>
      <w:r w:rsidRPr="003E578F">
        <w:rPr>
          <w:rFonts w:cstheme="minorHAnsi"/>
        </w:rPr>
        <w:t xml:space="preserve"> developed in an international or European context</w:t>
      </w:r>
      <w:r w:rsidR="00E15A6A">
        <w:rPr>
          <w:rFonts w:cstheme="minorHAnsi"/>
        </w:rPr>
        <w:t xml:space="preserve"> and</w:t>
      </w:r>
      <w:r w:rsidRPr="003E578F">
        <w:rPr>
          <w:rFonts w:cstheme="minorHAnsi"/>
        </w:rPr>
        <w:t xml:space="preserve"> outlining guidelines for t</w:t>
      </w:r>
      <w:r>
        <w:rPr>
          <w:rFonts w:cstheme="minorHAnsi"/>
        </w:rPr>
        <w:t>he t</w:t>
      </w:r>
      <w:r w:rsidRPr="003E578F">
        <w:rPr>
          <w:rFonts w:cstheme="minorHAnsi"/>
        </w:rPr>
        <w:t>ourism sector, with specific points covering accommodation and catering establishments</w:t>
      </w:r>
      <w:r w:rsidR="00E15A6A">
        <w:rPr>
          <w:rFonts w:cstheme="minorHAnsi"/>
        </w:rPr>
        <w:t>, should be taken into consideration</w:t>
      </w:r>
      <w:r w:rsidRPr="003E578F">
        <w:rPr>
          <w:rFonts w:cstheme="minorHAnsi"/>
        </w:rPr>
        <w:t>:</w:t>
      </w:r>
    </w:p>
    <w:p w14:paraId="1A0BB035" w14:textId="77777777" w:rsidR="003671DA" w:rsidRPr="003671DA" w:rsidRDefault="00653DF1" w:rsidP="00170FE6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textAlignment w:val="baseline"/>
        <w:rPr>
          <w:rFonts w:cstheme="minorHAnsi"/>
        </w:rPr>
      </w:pPr>
      <w:r w:rsidRPr="00170FE6">
        <w:rPr>
          <w:rFonts w:cstheme="minorHAnsi"/>
          <w:color w:val="000000"/>
          <w:lang w:eastAsia="en-GB"/>
        </w:rPr>
        <w:t>On 31 March 2020, the </w:t>
      </w:r>
      <w:hyperlink r:id="rId15" w:history="1">
        <w:r w:rsidRPr="00170FE6">
          <w:rPr>
            <w:rStyle w:val="Hyperlink"/>
            <w:rFonts w:cstheme="minorHAnsi"/>
            <w:lang w:eastAsia="en-GB"/>
          </w:rPr>
          <w:t>World Health Organization (WHO) published guidance for collective tourism accommodation establishments such as hotels and similar establishments</w:t>
        </w:r>
      </w:hyperlink>
      <w:r w:rsidRPr="00170FE6">
        <w:rPr>
          <w:rStyle w:val="Hyperlink"/>
          <w:rFonts w:cstheme="minorHAnsi"/>
          <w:lang w:eastAsia="en-GB"/>
        </w:rPr>
        <w:t xml:space="preserve"> to </w:t>
      </w:r>
      <w:r w:rsidRPr="00170FE6">
        <w:rPr>
          <w:rFonts w:cstheme="minorHAnsi"/>
          <w:color w:val="000000"/>
          <w:lang w:eastAsia="en-GB"/>
        </w:rPr>
        <w:t xml:space="preserve">protect the health of its staff and clients amidst the COVID-19 pandemic. The guidance also aims to help any authority involved in public health to respond to a public health event in hotels and tourism accommodation establishments. HOTREC contributed to these guidelines and welcomed them: </w:t>
      </w:r>
      <w:hyperlink r:id="rId16" w:history="1">
        <w:r w:rsidRPr="00170FE6">
          <w:rPr>
            <w:rStyle w:val="Hyperlink"/>
            <w:rFonts w:cstheme="minorHAnsi"/>
            <w:lang w:eastAsia="en-GB"/>
          </w:rPr>
          <w:t>HOTREC's reply to WHO guidelines on "How to protect against COVID-19 in hotel industry" - HOTREC</w:t>
        </w:r>
      </w:hyperlink>
      <w:r w:rsidR="002454BD" w:rsidRPr="00170FE6">
        <w:rPr>
          <w:rStyle w:val="Hyperlink"/>
          <w:rFonts w:cstheme="minorHAnsi"/>
          <w:lang w:eastAsia="en-GB"/>
        </w:rPr>
        <w:t>.</w:t>
      </w:r>
      <w:r w:rsidR="00170FE6">
        <w:rPr>
          <w:rFonts w:cstheme="minorHAnsi"/>
          <w:color w:val="000000"/>
        </w:rPr>
        <w:t xml:space="preserve"> </w:t>
      </w:r>
    </w:p>
    <w:p w14:paraId="225C2825" w14:textId="4B4B1259" w:rsidR="00653DF1" w:rsidRPr="00170FE6" w:rsidRDefault="00170FE6" w:rsidP="003671DA">
      <w:pPr>
        <w:shd w:val="clear" w:color="auto" w:fill="FFFFFF"/>
        <w:spacing w:after="120" w:line="240" w:lineRule="auto"/>
        <w:ind w:left="714"/>
        <w:textAlignment w:val="baseline"/>
        <w:rPr>
          <w:rFonts w:cstheme="minorHAnsi"/>
        </w:rPr>
      </w:pPr>
      <w:r>
        <w:rPr>
          <w:rFonts w:cstheme="minorHAnsi"/>
          <w:color w:val="000000"/>
        </w:rPr>
        <w:t>T</w:t>
      </w:r>
      <w:r w:rsidR="00653DF1" w:rsidRPr="00170FE6">
        <w:rPr>
          <w:rFonts w:cstheme="minorHAnsi"/>
          <w:color w:val="000000"/>
        </w:rPr>
        <w:t>he</w:t>
      </w:r>
      <w:r w:rsidR="00653DF1" w:rsidRPr="00170FE6">
        <w:rPr>
          <w:rFonts w:cstheme="minorHAnsi"/>
          <w:color w:val="959594"/>
        </w:rPr>
        <w:t> </w:t>
      </w:r>
      <w:hyperlink r:id="rId17" w:history="1">
        <w:r w:rsidR="00653DF1" w:rsidRPr="00170FE6">
          <w:rPr>
            <w:rStyle w:val="Hyperlink"/>
            <w:rFonts w:cstheme="minorHAnsi"/>
          </w:rPr>
          <w:t>WHO followed up on 7 April with similar interim guidance for food business</w:t>
        </w:r>
      </w:hyperlink>
      <w:r w:rsidR="00653DF1" w:rsidRPr="00170FE6">
        <w:rPr>
          <w:rStyle w:val="Hyperlink"/>
          <w:rFonts w:cstheme="minorHAnsi"/>
        </w:rPr>
        <w:t>,</w:t>
      </w:r>
      <w:r w:rsidR="00653DF1" w:rsidRPr="00170FE6">
        <w:rPr>
          <w:rFonts w:cstheme="minorHAnsi"/>
          <w:color w:val="959594"/>
        </w:rPr>
        <w:t xml:space="preserve"> </w:t>
      </w:r>
      <w:r w:rsidR="00653DF1" w:rsidRPr="00170FE6">
        <w:rPr>
          <w:rFonts w:cstheme="minorHAnsi"/>
          <w:color w:val="000000"/>
        </w:rPr>
        <w:t xml:space="preserve">namely recommendations on how to prevent the spread of COVID-19 at work; how to recognize the </w:t>
      </w:r>
      <w:r w:rsidR="00653DF1" w:rsidRPr="00170FE6">
        <w:rPr>
          <w:rFonts w:cstheme="minorHAnsi"/>
          <w:color w:val="000000"/>
        </w:rPr>
        <w:lastRenderedPageBreak/>
        <w:t xml:space="preserve">symptoms of the virus; and how to transport and delivery food ingredients and food products. </w:t>
      </w:r>
    </w:p>
    <w:p w14:paraId="447CC771" w14:textId="77777777" w:rsidR="00653DF1" w:rsidRPr="003E578F" w:rsidRDefault="00653DF1" w:rsidP="00170FE6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textAlignment w:val="baseline"/>
        <w:rPr>
          <w:rFonts w:cstheme="minorHAnsi"/>
          <w:color w:val="959594"/>
          <w:lang w:eastAsia="en-GB"/>
        </w:rPr>
      </w:pPr>
      <w:r w:rsidRPr="003E578F">
        <w:rPr>
          <w:rFonts w:cstheme="minorHAnsi"/>
          <w:color w:val="000000"/>
          <w:lang w:eastAsia="en-GB"/>
        </w:rPr>
        <w:t xml:space="preserve">As part of its Communication on </w:t>
      </w:r>
      <w:r w:rsidRPr="003E578F">
        <w:rPr>
          <w:rFonts w:cstheme="minorHAnsi"/>
          <w:color w:val="959594"/>
          <w:lang w:eastAsia="en-GB"/>
        </w:rPr>
        <w:t>“</w:t>
      </w:r>
      <w:hyperlink r:id="rId18" w:history="1">
        <w:r w:rsidRPr="003E578F">
          <w:rPr>
            <w:rStyle w:val="Hyperlink"/>
            <w:rFonts w:cstheme="minorHAnsi"/>
            <w:lang w:eastAsia="en-GB"/>
          </w:rPr>
          <w:t>Tourism and transport in 2020 and beyond</w:t>
        </w:r>
      </w:hyperlink>
      <w:r w:rsidRPr="003E578F">
        <w:rPr>
          <w:rFonts w:cstheme="minorHAnsi"/>
          <w:color w:val="959594"/>
          <w:lang w:eastAsia="en-GB"/>
        </w:rPr>
        <w:t xml:space="preserve">” </w:t>
      </w:r>
      <w:r w:rsidRPr="003E578F">
        <w:rPr>
          <w:rFonts w:cstheme="minorHAnsi"/>
          <w:color w:val="000000"/>
          <w:lang w:eastAsia="en-GB"/>
        </w:rPr>
        <w:t>on 13 May, the European Commission published a document outlining </w:t>
      </w:r>
      <w:hyperlink r:id="rId19" w:history="1">
        <w:r w:rsidRPr="003E578F">
          <w:rPr>
            <w:rStyle w:val="Hyperlink"/>
            <w:rFonts w:cstheme="minorHAnsi"/>
            <w:lang w:eastAsia="en-GB"/>
          </w:rPr>
          <w:t>guidance for the progressive resuming of tourism services and for health protocols in hospitality establishments</w:t>
        </w:r>
      </w:hyperlink>
      <w:r w:rsidRPr="003E578F">
        <w:rPr>
          <w:rFonts w:cstheme="minorHAnsi"/>
          <w:color w:val="959594"/>
          <w:lang w:eastAsia="en-GB"/>
        </w:rPr>
        <w:t xml:space="preserve">. </w:t>
      </w:r>
      <w:r w:rsidRPr="003E578F">
        <w:rPr>
          <w:rFonts w:cstheme="minorHAnsi"/>
          <w:color w:val="000000"/>
          <w:lang w:eastAsia="en-GB"/>
        </w:rPr>
        <w:t>HOTREC has also welcomed this guidance in the context of regular calls with the European Commission addressing the impact of COVID-19 on the tourism sector.  </w:t>
      </w:r>
    </w:p>
    <w:p w14:paraId="69BB31F6" w14:textId="77777777" w:rsidR="003671DA" w:rsidRDefault="00653DF1" w:rsidP="00170FE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lang w:eastAsia="en-GB"/>
        </w:rPr>
      </w:pPr>
      <w:r w:rsidRPr="00170FE6">
        <w:rPr>
          <w:rFonts w:cstheme="minorHAnsi"/>
          <w:color w:val="000000"/>
          <w:lang w:eastAsia="en-GB"/>
        </w:rPr>
        <w:t xml:space="preserve">In June 2020, </w:t>
      </w:r>
      <w:hyperlink r:id="rId20" w:history="1">
        <w:r w:rsidRPr="00170FE6">
          <w:rPr>
            <w:rStyle w:val="Hyperlink"/>
            <w:rFonts w:cstheme="minorHAnsi"/>
            <w:lang w:eastAsia="en-GB"/>
          </w:rPr>
          <w:t>ISO launched an initiative to develop ‘Guidelines for the prevention from COVID-19 in the tourism industry’</w:t>
        </w:r>
      </w:hyperlink>
      <w:r w:rsidRPr="00170FE6">
        <w:rPr>
          <w:rFonts w:cstheme="minorHAnsi"/>
          <w:color w:val="000000"/>
          <w:lang w:eastAsia="en-GB"/>
        </w:rPr>
        <w:t xml:space="preserve">. Though a rapid adoption procedure was initially foreseen, the work seems to have </w:t>
      </w:r>
      <w:proofErr w:type="gramStart"/>
      <w:r w:rsidRPr="00170FE6">
        <w:rPr>
          <w:rFonts w:cstheme="minorHAnsi"/>
          <w:color w:val="000000"/>
          <w:lang w:eastAsia="en-GB"/>
        </w:rPr>
        <w:t>lagged behind</w:t>
      </w:r>
      <w:proofErr w:type="gramEnd"/>
      <w:r w:rsidRPr="00170FE6">
        <w:rPr>
          <w:rFonts w:cstheme="minorHAnsi"/>
          <w:color w:val="000000"/>
          <w:lang w:eastAsia="en-GB"/>
        </w:rPr>
        <w:t xml:space="preserve"> schedule. It should also be noted that ISO is not seeking to develop a full international standard (which is what it usually does) but rather guidance (a so-called </w:t>
      </w:r>
      <w:proofErr w:type="gramStart"/>
      <w:r w:rsidRPr="00170FE6">
        <w:rPr>
          <w:rFonts w:cstheme="minorHAnsi"/>
          <w:color w:val="000000"/>
          <w:lang w:eastAsia="en-GB"/>
        </w:rPr>
        <w:t>Public</w:t>
      </w:r>
      <w:proofErr w:type="gramEnd"/>
      <w:r w:rsidRPr="00170FE6">
        <w:rPr>
          <w:rFonts w:cstheme="minorHAnsi"/>
          <w:color w:val="000000"/>
          <w:lang w:eastAsia="en-GB"/>
        </w:rPr>
        <w:t xml:space="preserve"> Available Specification (PAS)). Observers have noted that this guidance is very similar to what WHO has already put forward. </w:t>
      </w:r>
      <w:r w:rsidR="00170FE6">
        <w:rPr>
          <w:rFonts w:cstheme="minorHAnsi"/>
          <w:color w:val="000000"/>
          <w:lang w:eastAsia="en-GB"/>
        </w:rPr>
        <w:t xml:space="preserve"> </w:t>
      </w:r>
    </w:p>
    <w:p w14:paraId="576C7849" w14:textId="4D73ACDB" w:rsidR="00170FE6" w:rsidRDefault="00653DF1" w:rsidP="003671DA">
      <w:p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000000"/>
          <w:lang w:eastAsia="en-GB"/>
        </w:rPr>
      </w:pPr>
      <w:r w:rsidRPr="00170FE6">
        <w:rPr>
          <w:rFonts w:cstheme="minorHAnsi"/>
          <w:color w:val="000000"/>
          <w:lang w:eastAsia="en-GB"/>
        </w:rPr>
        <w:t xml:space="preserve">At present, ISO is open to receiving feedback on a current draft guidance – and a HOTREC Members’ consultation is currently underway to provide ISO with feedback and comments. ISO TC228 will reconvene next March to take stock of comments and move ahead. </w:t>
      </w:r>
    </w:p>
    <w:p w14:paraId="2F9C0FF4" w14:textId="77777777" w:rsidR="00170FE6" w:rsidRPr="00170FE6" w:rsidRDefault="00170FE6" w:rsidP="00170FE6">
      <w:pPr>
        <w:shd w:val="clear" w:color="auto" w:fill="FFFFFF"/>
        <w:spacing w:after="0" w:line="240" w:lineRule="auto"/>
        <w:ind w:left="720"/>
        <w:textAlignment w:val="baseline"/>
        <w:rPr>
          <w:rFonts w:cstheme="minorHAnsi"/>
          <w:color w:val="000000"/>
          <w:lang w:eastAsia="en-GB"/>
        </w:rPr>
      </w:pPr>
    </w:p>
    <w:p w14:paraId="1F75D2CD" w14:textId="445604FD" w:rsidR="000076C7" w:rsidRPr="003C0F6D" w:rsidRDefault="00D02978" w:rsidP="00D02978">
      <w:pPr>
        <w:jc w:val="center"/>
      </w:pPr>
      <w:r>
        <w:t>*****</w:t>
      </w:r>
    </w:p>
    <w:sectPr w:rsidR="000076C7" w:rsidRPr="003C0F6D" w:rsidSect="00F74427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189D4" w14:textId="77777777" w:rsidR="005C1785" w:rsidRDefault="005C1785" w:rsidP="00E57349">
      <w:pPr>
        <w:spacing w:after="0" w:line="240" w:lineRule="auto"/>
      </w:pPr>
      <w:r>
        <w:separator/>
      </w:r>
    </w:p>
  </w:endnote>
  <w:endnote w:type="continuationSeparator" w:id="0">
    <w:p w14:paraId="158F9540" w14:textId="77777777" w:rsidR="005C1785" w:rsidRDefault="005C1785" w:rsidP="00E5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CEAD6" w14:textId="77777777" w:rsidR="005C1785" w:rsidRDefault="005C1785" w:rsidP="00E57349">
      <w:pPr>
        <w:spacing w:after="0" w:line="240" w:lineRule="auto"/>
      </w:pPr>
      <w:r>
        <w:separator/>
      </w:r>
    </w:p>
  </w:footnote>
  <w:footnote w:type="continuationSeparator" w:id="0">
    <w:p w14:paraId="068C3A8E" w14:textId="77777777" w:rsidR="005C1785" w:rsidRDefault="005C1785" w:rsidP="00E5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1CC72" w14:textId="77777777" w:rsidR="00E57349" w:rsidRDefault="00E57349" w:rsidP="00E57349">
    <w:pPr>
      <w:pStyle w:val="Header"/>
      <w:jc w:val="center"/>
      <w:rPr>
        <w:noProof/>
        <w:spacing w:val="-2"/>
        <w:sz w:val="28"/>
        <w:lang w:eastAsia="en-GB"/>
      </w:rPr>
    </w:pPr>
    <w:r w:rsidRPr="002E7A4E">
      <w:rPr>
        <w:noProof/>
        <w:spacing w:val="-2"/>
        <w:sz w:val="28"/>
        <w:lang w:val="en-US"/>
      </w:rPr>
      <w:drawing>
        <wp:inline distT="0" distB="0" distL="0" distR="0" wp14:anchorId="7AAEF730" wp14:editId="254DEE71">
          <wp:extent cx="1819275" cy="1009650"/>
          <wp:effectExtent l="0" t="0" r="9525" b="0"/>
          <wp:docPr id="1" name="Picture 1" descr="Hotrec logo final-RVB (3) 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trec logo final-RVB (3) 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2B45D" w14:textId="0EDAC4C0" w:rsidR="00E57349" w:rsidRDefault="00E57349" w:rsidP="00E57349">
    <w:pPr>
      <w:pStyle w:val="ColorfulList-Accent11"/>
      <w:contextualSpacing w:val="0"/>
    </w:pPr>
    <w:r w:rsidRPr="001E4562">
      <w:rPr>
        <w:rFonts w:ascii="Calibri" w:hAnsi="Calibri"/>
        <w:i/>
        <w:sz w:val="16"/>
        <w:szCs w:val="16"/>
      </w:rPr>
      <w:t>D-</w:t>
    </w:r>
    <w:r>
      <w:rPr>
        <w:rFonts w:ascii="Calibri" w:hAnsi="Calibri"/>
        <w:i/>
        <w:sz w:val="16"/>
        <w:szCs w:val="16"/>
      </w:rPr>
      <w:t>0121-</w:t>
    </w:r>
    <w:r w:rsidR="00022A99">
      <w:rPr>
        <w:rFonts w:ascii="Calibri" w:hAnsi="Calibri"/>
        <w:i/>
        <w:sz w:val="16"/>
        <w:szCs w:val="16"/>
      </w:rPr>
      <w:t>019</w:t>
    </w:r>
    <w:r w:rsidR="003C0F6D">
      <w:rPr>
        <w:rFonts w:ascii="Calibri" w:hAnsi="Calibri"/>
        <w:i/>
        <w:sz w:val="16"/>
        <w:szCs w:val="16"/>
      </w:rPr>
      <w:t>-JL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1A48"/>
    <w:multiLevelType w:val="hybridMultilevel"/>
    <w:tmpl w:val="5A7A8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2C22"/>
    <w:multiLevelType w:val="hybridMultilevel"/>
    <w:tmpl w:val="D8689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DD9"/>
    <w:multiLevelType w:val="hybridMultilevel"/>
    <w:tmpl w:val="7DAA4318"/>
    <w:lvl w:ilvl="0" w:tplc="BF161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5735"/>
    <w:multiLevelType w:val="hybridMultilevel"/>
    <w:tmpl w:val="2FDEE3BC"/>
    <w:lvl w:ilvl="0" w:tplc="9AFC4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A8A"/>
    <w:multiLevelType w:val="hybridMultilevel"/>
    <w:tmpl w:val="1256C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7AD3"/>
    <w:multiLevelType w:val="hybridMultilevel"/>
    <w:tmpl w:val="D1AC394C"/>
    <w:lvl w:ilvl="0" w:tplc="9CDC32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1B32"/>
    <w:multiLevelType w:val="hybridMultilevel"/>
    <w:tmpl w:val="99C24D4A"/>
    <w:lvl w:ilvl="0" w:tplc="5B74C8A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373D"/>
    <w:multiLevelType w:val="hybridMultilevel"/>
    <w:tmpl w:val="7AB634A6"/>
    <w:lvl w:ilvl="0" w:tplc="0C1625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65B6"/>
    <w:multiLevelType w:val="hybridMultilevel"/>
    <w:tmpl w:val="A9D4AD4E"/>
    <w:lvl w:ilvl="0" w:tplc="69AAF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B4495"/>
    <w:multiLevelType w:val="hybridMultilevel"/>
    <w:tmpl w:val="7B4458FE"/>
    <w:lvl w:ilvl="0" w:tplc="99142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81"/>
    <w:rsid w:val="000076C7"/>
    <w:rsid w:val="00022A99"/>
    <w:rsid w:val="00051290"/>
    <w:rsid w:val="00066EC2"/>
    <w:rsid w:val="001539D1"/>
    <w:rsid w:val="00165577"/>
    <w:rsid w:val="0016571C"/>
    <w:rsid w:val="00170FE6"/>
    <w:rsid w:val="001907E7"/>
    <w:rsid w:val="001B7D28"/>
    <w:rsid w:val="001D6688"/>
    <w:rsid w:val="002304E0"/>
    <w:rsid w:val="002454BD"/>
    <w:rsid w:val="00256FB1"/>
    <w:rsid w:val="00270A76"/>
    <w:rsid w:val="00286890"/>
    <w:rsid w:val="00291359"/>
    <w:rsid w:val="002A5656"/>
    <w:rsid w:val="003056CA"/>
    <w:rsid w:val="0031637A"/>
    <w:rsid w:val="003376FD"/>
    <w:rsid w:val="00337EAE"/>
    <w:rsid w:val="003671DA"/>
    <w:rsid w:val="00367426"/>
    <w:rsid w:val="003A3DD3"/>
    <w:rsid w:val="003A4958"/>
    <w:rsid w:val="003C08EB"/>
    <w:rsid w:val="003C0F6D"/>
    <w:rsid w:val="003E4C22"/>
    <w:rsid w:val="003F1CE7"/>
    <w:rsid w:val="00466E0E"/>
    <w:rsid w:val="0049021F"/>
    <w:rsid w:val="004B5760"/>
    <w:rsid w:val="004C5EE1"/>
    <w:rsid w:val="004D145A"/>
    <w:rsid w:val="004F7165"/>
    <w:rsid w:val="00500908"/>
    <w:rsid w:val="00564370"/>
    <w:rsid w:val="005C1785"/>
    <w:rsid w:val="00615D81"/>
    <w:rsid w:val="006475F9"/>
    <w:rsid w:val="00653DF1"/>
    <w:rsid w:val="00654D33"/>
    <w:rsid w:val="00730DD9"/>
    <w:rsid w:val="00791D71"/>
    <w:rsid w:val="007A3189"/>
    <w:rsid w:val="007B20D2"/>
    <w:rsid w:val="00801EF2"/>
    <w:rsid w:val="00802583"/>
    <w:rsid w:val="00835396"/>
    <w:rsid w:val="00840D78"/>
    <w:rsid w:val="008470CA"/>
    <w:rsid w:val="00866C0B"/>
    <w:rsid w:val="00867820"/>
    <w:rsid w:val="00884252"/>
    <w:rsid w:val="0088743F"/>
    <w:rsid w:val="00892F14"/>
    <w:rsid w:val="00934E3D"/>
    <w:rsid w:val="00A25B0F"/>
    <w:rsid w:val="00A43DA3"/>
    <w:rsid w:val="00AC7248"/>
    <w:rsid w:val="00AD09E6"/>
    <w:rsid w:val="00B32AF4"/>
    <w:rsid w:val="00BA7BDF"/>
    <w:rsid w:val="00C90CD8"/>
    <w:rsid w:val="00CD27CE"/>
    <w:rsid w:val="00CE502E"/>
    <w:rsid w:val="00D02978"/>
    <w:rsid w:val="00D53A76"/>
    <w:rsid w:val="00D732F9"/>
    <w:rsid w:val="00D933C8"/>
    <w:rsid w:val="00D96D7E"/>
    <w:rsid w:val="00E15A6A"/>
    <w:rsid w:val="00E16775"/>
    <w:rsid w:val="00E57349"/>
    <w:rsid w:val="00E754E5"/>
    <w:rsid w:val="00EA25DB"/>
    <w:rsid w:val="00F14A34"/>
    <w:rsid w:val="00F501C4"/>
    <w:rsid w:val="00F72F1B"/>
    <w:rsid w:val="00F74427"/>
    <w:rsid w:val="00FA4708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69C6"/>
  <w15:chartTrackingRefBased/>
  <w15:docId w15:val="{D4B2A7E3-0AF1-453F-88D4-A9F6F552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DA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09E6"/>
    <w:pPr>
      <w:ind w:left="720"/>
      <w:contextualSpacing/>
    </w:pPr>
  </w:style>
  <w:style w:type="table" w:styleId="TableGrid">
    <w:name w:val="Table Grid"/>
    <w:basedOn w:val="TableNormal"/>
    <w:uiPriority w:val="39"/>
    <w:rsid w:val="00AD09E6"/>
    <w:pPr>
      <w:spacing w:after="0" w:line="240" w:lineRule="auto"/>
    </w:pPr>
    <w:rPr>
      <w:rFonts w:eastAsiaTheme="minorEastAsia"/>
      <w:lang w:val="es-E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5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57349"/>
  </w:style>
  <w:style w:type="paragraph" w:styleId="Footer">
    <w:name w:val="footer"/>
    <w:basedOn w:val="Normal"/>
    <w:link w:val="FooterChar"/>
    <w:uiPriority w:val="99"/>
    <w:unhideWhenUsed/>
    <w:rsid w:val="00E5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49"/>
  </w:style>
  <w:style w:type="paragraph" w:customStyle="1" w:styleId="ColorfulList-Accent11">
    <w:name w:val="Colorful List - Accent 11"/>
    <w:basedOn w:val="Normal"/>
    <w:uiPriority w:val="34"/>
    <w:qFormat/>
    <w:rsid w:val="00E57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53D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3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oss.cen.eu/technicalstructures/pages/bt/" TargetMode="External"/><Relationship Id="rId18" Type="http://schemas.openxmlformats.org/officeDocument/2006/relationships/hyperlink" Target="https://ec.europa.eu/info/files/communication-commission-tourism-and-transport-2020-and-beyond_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cencenelec.eu/aboutus/MgtCentre/Pages/default.aspx" TargetMode="External"/><Relationship Id="rId17" Type="http://schemas.openxmlformats.org/officeDocument/2006/relationships/hyperlink" Target="https://www.hotrec.eu/wp-content/customer-area/storage/e9bd4f979d28e27a79c958e36a9c4fd7/WHO-2019-nCoV-Food_Safety-2020.1-eng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trec.eu/policy/hotrecs-reply-to-who-guidelines-on-how-to-protect-against-covid-19-in-hotel-industry/" TargetMode="External"/><Relationship Id="rId20" Type="http://schemas.openxmlformats.org/officeDocument/2006/relationships/hyperlink" Target="https://www.hotrec.eu/iso-21-guidelines-for-the-prevention-from-covid-19-in-the-tourism-industry-spai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cenelec.eu/intcoop/StandardizationOrg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s.who.int/iris/bitstream/handle/10665/331638/WHO-2019-nCoV-Hotels-2020.1-eng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otrec.eu/iso-tc228-project-measures-to-reduce-the-spread-of-the-covid-19-in-the-tourism-industry/" TargetMode="External"/><Relationship Id="rId19" Type="http://schemas.openxmlformats.org/officeDocument/2006/relationships/hyperlink" Target="https://ec.europa.eu/info/files/covid-19-eu-guidance-progressive-resuming-tourism-services-and-health-protocols-hospitality-establishments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n.eu/work/products/cwa/pages/default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2F6093989E347A7B4AB2A587D2A58" ma:contentTypeVersion="7" ma:contentTypeDescription="Een nieuw document maken." ma:contentTypeScope="" ma:versionID="e008afc7a3c700c54561e1541302276a">
  <xsd:schema xmlns:xsd="http://www.w3.org/2001/XMLSchema" xmlns:xs="http://www.w3.org/2001/XMLSchema" xmlns:p="http://schemas.microsoft.com/office/2006/metadata/properties" xmlns:ns2="99a9ceba-819f-42de-ab07-1885fd480531" targetNamespace="http://schemas.microsoft.com/office/2006/metadata/properties" ma:root="true" ma:fieldsID="b524ce2d2ed5e944ef7bf5f95d938d18" ns2:_="">
    <xsd:import namespace="99a9ceba-819f-42de-ab07-1885fd480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9ceba-819f-42de-ab07-1885fd480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C6430-6633-4DF6-9EEF-DDC7D7DA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9ceba-819f-42de-ab07-1885fd48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F3809-3B6F-48FC-887F-1FAB250A9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85F20-A1C7-4B57-B7CC-63B06D139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Lovell</dc:creator>
  <cp:keywords/>
  <dc:description/>
  <cp:lastModifiedBy>Jacques Lovell</cp:lastModifiedBy>
  <cp:revision>14</cp:revision>
  <dcterms:created xsi:type="dcterms:W3CDTF">2021-01-28T10:38:00Z</dcterms:created>
  <dcterms:modified xsi:type="dcterms:W3CDTF">2021-01-28T13:55:00Z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0x0101007732F6093989E347A7B4AB2A587D2A58</vt:lpwstr>
  </property>
</Properties>
</file>